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MARKETING TRAINING RESOURCES AND RECORDS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Marketing Training Resources and Records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ensures the marketing team of [Organisation Name] is well trained, compliant and equipped with current skills, and that training is properly resourced and recorded.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Training Needs Analysis</w:t>
      </w:r>
    </w:p>
    <w:p>
      <w:pPr>
        <w:pStyle w:val="ListBullet"/>
        <w:spacing w:after="60"/>
      </w:pPr>
      <w:r>
        <w:t>assess current skills across digital marketing, content creation, data analysis, compliance and tools;</w:t>
      </w:r>
    </w:p>
    <w:p>
      <w:pPr>
        <w:pStyle w:val="ListBullet"/>
        <w:spacing w:after="60"/>
      </w:pPr>
      <w:r>
        <w:t>identify gaps in areas such as social media strategy, SEO and email marketing; and</w:t>
      </w:r>
    </w:p>
    <w:p>
      <w:pPr>
        <w:pStyle w:val="ListBullet"/>
        <w:spacing w:after="60"/>
      </w:pPr>
      <w:r>
        <w:t>set objectives such as improving engagement, data-driven decisions and legal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Training Modules</w:t>
      </w:r>
    </w:p>
    <w:p>
      <w:pPr>
        <w:pStyle w:val="ListBullet"/>
        <w:spacing w:after="60"/>
      </w:pPr>
      <w:r>
        <w:t>Introduction to marketing for charities — fundamentals, audiences and mission alignment;</w:t>
      </w:r>
    </w:p>
    <w:p>
      <w:pPr>
        <w:pStyle w:val="ListBullet"/>
        <w:spacing w:after="60"/>
      </w:pPr>
      <w:r>
        <w:t>Digital marketing — SEO, social media and email marketing (including Spam Act compliance);</w:t>
      </w:r>
    </w:p>
    <w:p>
      <w:pPr>
        <w:pStyle w:val="ListBullet"/>
        <w:spacing w:after="60"/>
      </w:pPr>
      <w:r>
        <w:t>Content creation — storytelling that respects beneficiary privacy, and visual content;</w:t>
      </w:r>
    </w:p>
    <w:p>
      <w:pPr>
        <w:pStyle w:val="ListBullet"/>
        <w:spacing w:after="60"/>
      </w:pPr>
      <w:r>
        <w:t>Data analysis — using analytics tools and interpreting data; and</w:t>
      </w:r>
    </w:p>
    <w:p>
      <w:pPr>
        <w:pStyle w:val="ListBullet"/>
        <w:spacing w:after="60"/>
      </w:pPr>
      <w:r>
        <w:t>Compliance and ethics — ACNC, ACCC and state fundraising regulation, and ethical marketing.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Implementation</w:t>
      </w:r>
    </w:p>
    <w:p>
      <w:pPr>
        <w:pStyle w:val="ListBullet"/>
        <w:spacing w:after="60"/>
      </w:pPr>
      <w:r>
        <w:t>Onboarding — orientation to marketing goals and tools, with initial modules; and</w:t>
      </w:r>
    </w:p>
    <w:p>
      <w:pPr>
        <w:pStyle w:val="ListBullet"/>
        <w:spacing w:after="60"/>
      </w:pPr>
      <w:r>
        <w:t>Continuous learning — monthly workshops, guest speakers and webinars.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Records and Documentation</w:t>
      </w:r>
    </w:p>
    <w:p>
      <w:pPr>
        <w:pStyle w:val="ListBullet"/>
        <w:spacing w:after="60"/>
      </w:pPr>
      <w:r>
        <w:t>maintain individual training logs with dates and modules;</w:t>
      </w:r>
    </w:p>
    <w:p>
      <w:pPr>
        <w:pStyle w:val="ListBullet"/>
        <w:spacing w:after="60"/>
      </w:pPr>
      <w:r>
        <w:t>record certifications, assessments and attendance; and</w:t>
      </w:r>
    </w:p>
    <w:p>
      <w:pPr>
        <w:pStyle w:val="ListBullet"/>
        <w:spacing w:after="60"/>
      </w:pPr>
      <w:r>
        <w:t>store all materials and records in a centralised repository (shared drive or learning management system), kept up to date.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Evaluation and Improvement</w:t>
      </w:r>
    </w:p>
    <w:p>
      <w:pPr>
        <w:pStyle w:val="ListBullet"/>
        <w:spacing w:after="60"/>
      </w:pPr>
      <w:r>
        <w:t>collect feedback through surveys and interviews;</w:t>
      </w:r>
    </w:p>
    <w:p>
      <w:pPr>
        <w:pStyle w:val="ListBullet"/>
        <w:spacing w:after="60"/>
      </w:pPr>
      <w:r>
        <w:t>use pre- and post-training assessments and KPIs to measure impact; and</w:t>
      </w:r>
    </w:p>
    <w:p>
      <w:pPr>
        <w:pStyle w:val="ListBullet"/>
        <w:spacing w:after="60"/>
      </w:pPr>
      <w:r>
        <w:t>review and revise programs regularly and incorporate new trends and good practice.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Review</w:t>
      </w:r>
    </w:p>
    <w:p>
      <w:pPr>
        <w:jc w:val="both"/>
      </w:pPr>
      <w:r>
        <w:t>This policy and the training program are reviewed at least annually, with updates communicated to the team.</w:t>
      </w:r>
    </w:p>
    <w:p>
      <w:r>
        <w:rPr>
          <w:rFonts w:ascii="Calibri" w:hAnsi="Calibri"/>
          <w:i/>
          <w:color w:val="595959"/>
          <w:sz w:val="20"/>
        </w:rPr>
        <w:t>A standard Training Record template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Marketing Training Resources and Records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