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SOCIAL MEDIA COMPLIANCE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Social Media Compliance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ensures all social media activity by [Organisation Name] complies with relevant law, regulation and ethical standards while effectively promoting the organisation's mission.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employees, volunteers and third-party contractors who manage or contribute to the organisation's social media accounts.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Key Principles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Compliance with laws and regulations</w:t>
      </w:r>
    </w:p>
    <w:p>
      <w:pPr>
        <w:pStyle w:val="ListBullet"/>
        <w:spacing w:after="60"/>
      </w:pPr>
      <w:r>
        <w:t>comply with the Australian Privacy Principles (APPs) and other privacy law;</w:t>
      </w:r>
    </w:p>
    <w:p>
      <w:pPr>
        <w:pStyle w:val="ListBullet"/>
        <w:spacing w:after="60"/>
      </w:pPr>
      <w:r>
        <w:t>follow ACCC and Ad Standards advertising guidance;</w:t>
      </w:r>
    </w:p>
    <w:p>
      <w:pPr>
        <w:pStyle w:val="ListBullet"/>
        <w:spacing w:after="60"/>
      </w:pPr>
      <w:r>
        <w:t>adhere to state and territory fundraising regulations; and</w:t>
      </w:r>
    </w:p>
    <w:p>
      <w:pPr>
        <w:pStyle w:val="ListBullet"/>
        <w:spacing w:after="60"/>
      </w:pPr>
      <w:r>
        <w:t>respect copyright, trademarks and intellectual property.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Ethical standards</w:t>
      </w:r>
    </w:p>
    <w:p>
      <w:pPr>
        <w:pStyle w:val="ListBullet"/>
        <w:spacing w:after="60"/>
      </w:pPr>
      <w:r>
        <w:t>communicate honestly and transparently;</w:t>
      </w:r>
    </w:p>
    <w:p>
      <w:pPr>
        <w:pStyle w:val="ListBullet"/>
        <w:spacing w:after="60"/>
      </w:pPr>
      <w:r>
        <w:t>respect the privacy and dignity of beneficiaries, donors, volunteers and staff; and</w:t>
      </w:r>
    </w:p>
    <w:p>
      <w:pPr>
        <w:pStyle w:val="ListBullet"/>
        <w:spacing w:after="60"/>
      </w:pPr>
      <w:r>
        <w:t>use inclusive language and imagery.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Social Media Guidelines</w:t>
      </w:r>
    </w:p>
    <w:p>
      <w:pPr>
        <w:pStyle w:val="ListBullet"/>
        <w:spacing w:after="60"/>
      </w:pPr>
      <w:r>
        <w:t>Content — accurate, respectful and mission-aligned, reviewed by a designated manager before publication, with no disclosure of confidential information;</w:t>
      </w:r>
    </w:p>
    <w:p>
      <w:pPr>
        <w:pStyle w:val="ListBullet"/>
        <w:spacing w:after="60"/>
      </w:pPr>
      <w:r>
        <w:t>Interaction — respond to comments and messages promptly and respectfully and obtain permission before sharing user-generated content;</w:t>
      </w:r>
    </w:p>
    <w:p>
      <w:pPr>
        <w:pStyle w:val="ListBullet"/>
        <w:spacing w:after="60"/>
      </w:pPr>
      <w:r>
        <w:t>Sensitive information — obtain written consent before sharing beneficiary stories or images and never disclose personal information without consent; and</w:t>
      </w:r>
    </w:p>
    <w:p>
      <w:pPr>
        <w:pStyle w:val="ListBullet"/>
        <w:spacing w:after="60"/>
      </w:pPr>
      <w:r>
        <w:t>Crisis management — follow the crisis plan, report incidents to senior management immediately, and allow only authorised personnel to make official statements.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Monitoring and Compliance</w:t>
      </w:r>
    </w:p>
    <w:p>
      <w:pPr>
        <w:pStyle w:val="ListBullet"/>
        <w:spacing w:after="60"/>
      </w:pPr>
      <w:r>
        <w:t>conduct regular audits of accounts and track performance;</w:t>
      </w:r>
    </w:p>
    <w:p>
      <w:pPr>
        <w:pStyle w:val="ListBullet"/>
        <w:spacing w:after="60"/>
      </w:pPr>
      <w:r>
        <w:t>provide regular training on compliance and good practice; and</w:t>
      </w:r>
    </w:p>
    <w:p>
      <w:pPr>
        <w:pStyle w:val="ListBullet"/>
        <w:spacing w:after="60"/>
      </w:pPr>
      <w:r>
        <w:t>maintain a process for reporting and addressing violations to the compliance officer.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Roles and Responsibilities</w:t>
      </w:r>
    </w:p>
    <w:p>
      <w:pPr>
        <w:pStyle w:val="ListBullet"/>
        <w:spacing w:after="60"/>
      </w:pPr>
      <w:r>
        <w:t>Social media team — create, review and publish content, monitor interactions and ensure compliance;</w:t>
      </w:r>
    </w:p>
    <w:p>
      <w:pPr>
        <w:pStyle w:val="ListBullet"/>
        <w:spacing w:after="60"/>
      </w:pPr>
      <w:r>
        <w:t>Marketing manager — approve content, conduct audits and provide training; and</w:t>
      </w:r>
    </w:p>
    <w:p>
      <w:pPr>
        <w:pStyle w:val="ListBullet"/>
        <w:spacing w:after="60"/>
      </w:pPr>
      <w:r>
        <w:t>Compliance officer — oversee compliance and investigate violations.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Review</w:t>
      </w:r>
    </w:p>
    <w:p>
      <w:pPr>
        <w:jc w:val="both"/>
      </w:pPr>
      <w:r>
        <w:t>This policy is reviewed annually to remain current with legal requirements and good practice, with updates communicated to all relevant parties.</w:t>
      </w:r>
    </w:p>
    <w:p>
      <w:r>
        <w:rPr>
          <w:rFonts w:ascii="Calibri" w:hAnsi="Calibri"/>
          <w:i/>
          <w:color w:val="595959"/>
          <w:sz w:val="20"/>
        </w:rPr>
        <w:t>A Social Media Approval Form should accompany this policy.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Social Media Compliance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