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color w:val="1F3864"/>
          <w:sz w:val="40"/>
        </w:rPr>
        <w:t>COMMUNITY SPONSORSHIP, PROCESSES AND MOUS POLICY</w:t>
      </w:r>
    </w:p>
    <w:p>
      <w:pPr>
        <w:jc w:val="center"/>
        <w:pBdr>
          <w:bottom w:val="single" w:sz="6" w:space="1" w:color="1F3864"/>
        </w:pBdr>
      </w:pPr>
      <w:r>
        <w:rPr>
          <w:rFonts w:ascii="Calibri" w:hAnsi="Calibri"/>
          <w:i/>
          <w:color w:val="595959"/>
          <w:sz w:val="24"/>
        </w:rPr>
        <w:t>[Organisation Name]</w:t>
      </w:r>
    </w:p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880"/>
        <w:gridCol w:w="6480"/>
      </w:tblGrid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Policy Title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Community Sponsorship, Processes and MoUs Policy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Organisation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[Organisation Name]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Policy Owner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[Position Title]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Approved By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[Board of Directors / Position Title]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Version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[1.0]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Effective Date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[Date]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Next Review Date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[Date — annual review recommended]</w:t>
            </w:r>
          </w:p>
        </w:tc>
      </w:tr>
    </w:tbl>
    <w:p/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1. Purpose</w:t>
      </w:r>
    </w:p>
    <w:p>
      <w:pPr>
        <w:jc w:val="both"/>
      </w:pPr>
      <w:r>
        <w:t>This policy sets out the procedures for managing community sponsorships at [Organisation Name], ensuring transparent, ethical and effective partnerships with sponsors that support the organisation's mission.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2. Scope</w:t>
      </w:r>
    </w:p>
    <w:p>
      <w:pPr>
        <w:jc w:val="both"/>
      </w:pPr>
      <w:r>
        <w:t>This policy applies to all staff, volunteers and external partners involved in community sponsorship programs.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3. Definitions</w:t>
      </w:r>
    </w:p>
    <w:p>
      <w:pPr>
        <w:pStyle w:val="ListBullet"/>
        <w:spacing w:after="60"/>
      </w:pPr>
      <w:r>
        <w:t>Community Sponsorship — a partnership in which a business, organisation or individual provides financial or in-kind support in exchange for recognition and other benefits; and</w:t>
      </w:r>
    </w:p>
    <w:p>
      <w:pPr>
        <w:pStyle w:val="ListBullet"/>
        <w:spacing w:after="60"/>
      </w:pPr>
      <w:r>
        <w:t>Memorandum of Understanding (MoU) — a formal agreement setting out the terms and expectations of the partnership.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4. Sponsorship Policy</w:t>
      </w:r>
    </w:p>
    <w:p>
      <w:pPr>
        <w:spacing w:before="80"/>
      </w:pPr>
      <w:r>
        <w:rPr>
          <w:rFonts w:ascii="Calibri" w:hAnsi="Calibri"/>
          <w:b/>
          <w:i/>
          <w:color w:val="1F3864"/>
          <w:sz w:val="22"/>
        </w:rPr>
        <w:t>Eligibility</w:t>
      </w:r>
    </w:p>
    <w:p>
      <w:pPr>
        <w:pStyle w:val="ListBullet"/>
        <w:spacing w:after="60"/>
      </w:pPr>
      <w:r>
        <w:t>sponsors must align with the organisation's mission and values, hold a positive reputation, and comply with relevant law.</w:t>
      </w:r>
    </w:p>
    <w:p>
      <w:pPr>
        <w:spacing w:before="80"/>
      </w:pPr>
      <w:r>
        <w:rPr>
          <w:rFonts w:ascii="Calibri" w:hAnsi="Calibri"/>
          <w:b/>
          <w:i/>
          <w:color w:val="1F3864"/>
          <w:sz w:val="22"/>
        </w:rPr>
        <w:t>Types</w:t>
      </w:r>
    </w:p>
    <w:p>
      <w:pPr>
        <w:pStyle w:val="ListBullet"/>
        <w:spacing w:after="60"/>
      </w:pPr>
      <w:r>
        <w:t>financial, in-kind and event sponsorship.</w:t>
      </w:r>
    </w:p>
    <w:p>
      <w:pPr>
        <w:spacing w:before="80"/>
      </w:pPr>
      <w:r>
        <w:rPr>
          <w:rFonts w:ascii="Calibri" w:hAnsi="Calibri"/>
          <w:b/>
          <w:i/>
          <w:color w:val="1F3864"/>
          <w:sz w:val="22"/>
        </w:rPr>
        <w:t>Recognition and benefits</w:t>
      </w:r>
    </w:p>
    <w:p>
      <w:pPr>
        <w:pStyle w:val="ListBullet"/>
        <w:spacing w:after="60"/>
      </w:pPr>
      <w:r>
        <w:t>public acknowledgement, brand visibility and exclusive access, as agreed.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5. Sponsorship Process</w:t>
      </w:r>
    </w:p>
    <w:p>
      <w:pPr>
        <w:pStyle w:val="ListBullet"/>
        <w:spacing w:after="60"/>
      </w:pPr>
      <w:r>
        <w:t>Identification and solicitation — assess needs, research prospects and develop tailored proposals;</w:t>
      </w:r>
    </w:p>
    <w:p>
      <w:pPr>
        <w:pStyle w:val="ListBullet"/>
        <w:spacing w:after="60"/>
      </w:pPr>
      <w:r>
        <w:t>Agreement — negotiate terms, draft an MoU and obtain senior management approval;</w:t>
      </w:r>
    </w:p>
    <w:p>
      <w:pPr>
        <w:pStyle w:val="ListBullet"/>
        <w:spacing w:after="60"/>
      </w:pPr>
      <w:r>
        <w:t>Implementation and monitoring — assign roles, communicate with sponsors and track progress; and</w:t>
      </w:r>
    </w:p>
    <w:p>
      <w:pPr>
        <w:pStyle w:val="ListBullet"/>
        <w:spacing w:after="60"/>
      </w:pPr>
      <w:r>
        <w:t>Evaluation and renewal — assess outcomes, gather feedback and consider renewal.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6. Memorandum of Understanding</w:t>
      </w:r>
    </w:p>
    <w:p>
      <w:pPr>
        <w:jc w:val="both"/>
      </w:pPr>
      <w:r>
        <w:t>Each MoU should set out the parties, purpose, scope of work, duration, financial terms, recognition and benefits, reporting and evaluation, confidentiality, termination conditions and authorised signatures.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7. Roles and Responsibilities</w:t>
      </w:r>
    </w:p>
    <w:p>
      <w:pPr>
        <w:pStyle w:val="ListBullet"/>
        <w:spacing w:after="60"/>
      </w:pPr>
      <w:r>
        <w:t>Sponsorship Manager — leads identification, MoUs and implementation;</w:t>
      </w:r>
    </w:p>
    <w:p>
      <w:pPr>
        <w:pStyle w:val="ListBullet"/>
        <w:spacing w:after="60"/>
      </w:pPr>
      <w:r>
        <w:t>Finance — manages financial aspects and compliance; and</w:t>
      </w:r>
    </w:p>
    <w:p>
      <w:pPr>
        <w:pStyle w:val="ListBullet"/>
        <w:spacing w:after="60"/>
      </w:pPr>
      <w:r>
        <w:t>Communications — ensures recognition and ongoing sponsor engagement.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8. Training and Review</w:t>
      </w:r>
    </w:p>
    <w:p>
      <w:pPr>
        <w:jc w:val="both"/>
      </w:pPr>
      <w:r>
        <w:t>Staff are trained in sponsorship management and provided with resources and templates. This policy is reviewed annually.</w:t>
      </w:r>
    </w:p>
    <w:p>
      <w:r>
        <w:rPr>
          <w:rFonts w:ascii="Calibri" w:hAnsi="Calibri"/>
          <w:i/>
          <w:color w:val="595959"/>
          <w:sz w:val="20"/>
        </w:rPr>
        <w:t>A sample MoU should accompany this policy.</w:t>
      </w:r>
    </w:p>
    <w:p/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Approval &amp; Acknowledgement</w:t>
      </w:r>
    </w:p>
    <w:p>
      <w:pPr>
        <w:jc w:val="both"/>
      </w:pPr>
      <w:r>
        <w:t>This policy has been approved by the [Board of Directors / approving body] of [Organisation Name]. By signing below, the approving officer confirms the policy has been adopted and that staff and volunteers are required to comply with it.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Role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Name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Signature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Date</w:t>
            </w:r>
          </w:p>
        </w:tc>
      </w:tr>
      <w:tr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  <w:t>Approved by (Director / Chair)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340"/>
            <w:shd w:val="clear" w:color="auto" w:fill="F2F4F9"/>
          </w:tcPr>
          <w:p>
            <w:r>
              <w:rPr>
                <w:rFonts w:ascii="Calibri" w:hAnsi="Calibri"/>
                <w:sz w:val="20"/>
              </w:rPr>
              <w:t>Policy Owner</w:t>
            </w:r>
          </w:p>
        </w:tc>
        <w:tc>
          <w:tcPr>
            <w:tcW w:type="dxa" w:w="2340"/>
            <w:shd w:val="clear" w:color="auto" w:fill="F2F4F9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340"/>
            <w:shd w:val="clear" w:color="auto" w:fill="F2F4F9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340"/>
            <w:shd w:val="clear" w:color="auto" w:fill="F2F4F9"/>
          </w:tcPr>
          <w:p>
            <w:r>
              <w:rPr>
                <w:rFonts w:ascii="Calibri" w:hAnsi="Calibri"/>
                <w:sz w:val="20"/>
              </w:rPr>
            </w:r>
          </w:p>
        </w:tc>
      </w:tr>
    </w:tbl>
    <w:p/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Version History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Date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Author / Reviser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Summary of Changes</w:t>
            </w:r>
          </w:p>
        </w:tc>
      </w:tr>
      <w:tr>
        <w:tc>
          <w:tcPr>
            <w:tcW w:type="dxa" w:w="1296"/>
          </w:tcPr>
          <w:p>
            <w:r>
              <w:rPr>
                <w:rFonts w:ascii="Calibri" w:hAnsi="Calibri"/>
                <w:sz w:val="20"/>
              </w:rPr>
              <w:t>1.0</w:t>
            </w:r>
          </w:p>
        </w:tc>
        <w:tc>
          <w:tcPr>
            <w:tcW w:type="dxa" w:w="1584"/>
          </w:tcPr>
          <w:p>
            <w:r>
              <w:rPr>
                <w:rFonts w:ascii="Calibri" w:hAnsi="Calibri"/>
                <w:sz w:val="20"/>
              </w:rPr>
              <w:t>[Date]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[Name]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20"/>
              </w:rPr>
              <w:t>Initial adoption of policy.</w:t>
            </w:r>
          </w:p>
        </w:tc>
      </w:tr>
      <w:tr>
        <w:tc>
          <w:tcPr>
            <w:tcW w:type="dxa" w:w="1296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584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20"/>
              </w:rPr>
            </w:r>
          </w:p>
        </w:tc>
      </w:tr>
    </w:tbl>
    <w:sectPr w:rsidR="00FC693F" w:rsidRPr="0006063C" w:rsidSect="00034616">
      <w:footerReference w:type="default" r:id="rId9"/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/>
        <w:color w:val="595959"/>
        <w:sz w:val="16"/>
      </w:rPr>
      <w:t>Community Sponsorship, Processes and MoUs Policy  |  [Organisation Name]  |  Template — customise before use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