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COMMUNITY SPONSORSHIPS AD HOC REPORTING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Community Sponsorships Ad Hoc Reporting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establishes a standard process for preparing and managing ad hoc reports on community sponsorships at [Organisation Name], ensuring timely, accurate and consistent reporting for stakeholders.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staff involved in the management, documentation and reporting of community sponsorships.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Definitions</w:t>
      </w:r>
    </w:p>
    <w:p>
      <w:pPr>
        <w:pStyle w:val="ListBullet"/>
        <w:spacing w:after="60"/>
      </w:pPr>
      <w:r>
        <w:t>Ad Hoc Report — a report prepared as needed to address a specific information request outside the regular reporting schedule.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Types of Ad Hoc Reports</w:t>
      </w:r>
    </w:p>
    <w:p>
      <w:pPr>
        <w:pStyle w:val="ListBullet"/>
        <w:spacing w:after="60"/>
      </w:pPr>
      <w:r>
        <w:t>sponsor-specific reports;</w:t>
      </w:r>
    </w:p>
    <w:p>
      <w:pPr>
        <w:pStyle w:val="ListBullet"/>
        <w:spacing w:after="60"/>
      </w:pPr>
      <w:r>
        <w:t>event-specific reports;</w:t>
      </w:r>
    </w:p>
    <w:p>
      <w:pPr>
        <w:pStyle w:val="ListBullet"/>
        <w:spacing w:after="60"/>
      </w:pPr>
      <w:r>
        <w:t>impact reports;</w:t>
      </w:r>
    </w:p>
    <w:p>
      <w:pPr>
        <w:pStyle w:val="ListBullet"/>
        <w:spacing w:after="60"/>
      </w:pPr>
      <w:r>
        <w:t>financial reports; and</w:t>
      </w:r>
    </w:p>
    <w:p>
      <w:pPr>
        <w:pStyle w:val="ListBullet"/>
        <w:spacing w:after="60"/>
      </w:pPr>
      <w:r>
        <w:t>compliance and audit reports.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Reporting Process</w:t>
      </w:r>
    </w:p>
    <w:p>
      <w:pPr>
        <w:pStyle w:val="ListBullet"/>
        <w:spacing w:after="60"/>
      </w:pPr>
      <w:r>
        <w:t>Requesting — requests come from senior management, the Board, sponsors or other stakeholders via a standard request form, approved by the Sponsorship Manager;</w:t>
      </w:r>
    </w:p>
    <w:p>
      <w:pPr>
        <w:pStyle w:val="ListBullet"/>
        <w:spacing w:after="60"/>
      </w:pPr>
      <w:r>
        <w:t>Preparation — gather and verify data from the register, tracker and other sources and present it in a standard format with an executive summary;</w:t>
      </w:r>
    </w:p>
    <w:p>
      <w:pPr>
        <w:pStyle w:val="ListBullet"/>
        <w:spacing w:after="60"/>
      </w:pPr>
      <w:r>
        <w:t>Review and approval — the Sponsorship Manager reviews the draft and obtains final approval; and</w:t>
      </w:r>
    </w:p>
    <w:p>
      <w:pPr>
        <w:pStyle w:val="ListBullet"/>
        <w:spacing w:after="60"/>
      </w:pPr>
      <w:r>
        <w:t>Delivery — deliver by the deadline and maintain confidentiality, sharing only with authorised individuals.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Data Security and Privacy</w:t>
      </w:r>
    </w:p>
    <w:p>
      <w:pPr>
        <w:pStyle w:val="ListBullet"/>
        <w:spacing w:after="60"/>
      </w:pPr>
      <w:r>
        <w:t>restrict data access to authorised personnel with secure login;</w:t>
      </w:r>
    </w:p>
    <w:p>
      <w:pPr>
        <w:pStyle w:val="ListBullet"/>
        <w:spacing w:after="60"/>
      </w:pPr>
      <w:r>
        <w:t>protect sensitive data with encryption and backups; and</w:t>
      </w:r>
    </w:p>
    <w:p>
      <w:pPr>
        <w:pStyle w:val="ListBullet"/>
        <w:spacing w:after="60"/>
      </w:pPr>
      <w:r>
        <w:t>comply with the Australian Privacy Principles (APPs).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Roles and Responsibilities</w:t>
      </w:r>
    </w:p>
    <w:p>
      <w:pPr>
        <w:pStyle w:val="ListBullet"/>
        <w:spacing w:after="60"/>
      </w:pPr>
      <w:r>
        <w:t>Sponsorship Manager — approves requests and reviews drafts;</w:t>
      </w:r>
    </w:p>
    <w:p>
      <w:pPr>
        <w:pStyle w:val="ListBullet"/>
        <w:spacing w:after="60"/>
      </w:pPr>
      <w:r>
        <w:t>Report preparers — collect, verify and prepare reports;</w:t>
      </w:r>
    </w:p>
    <w:p>
      <w:pPr>
        <w:pStyle w:val="ListBullet"/>
        <w:spacing w:after="60"/>
      </w:pPr>
      <w:r>
        <w:t>IT — provides data access and security; and</w:t>
      </w:r>
    </w:p>
    <w:p>
      <w:pPr>
        <w:pStyle w:val="ListBullet"/>
        <w:spacing w:after="60"/>
      </w:pPr>
      <w:r>
        <w:t>Requesters — submit detailed requests and clarifications.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Training and Review</w:t>
      </w:r>
    </w:p>
    <w:p>
      <w:pPr>
        <w:jc w:val="both"/>
      </w:pPr>
      <w:r>
        <w:t>Staff are trained on the ad hoc reporting process, and this policy is reviewed annually.</w:t>
      </w:r>
    </w:p>
    <w:p>
      <w:r>
        <w:rPr>
          <w:rFonts w:ascii="Calibri" w:hAnsi="Calibri"/>
          <w:i/>
          <w:color w:val="595959"/>
          <w:sz w:val="20"/>
        </w:rPr>
        <w:t>An Ad Hoc Report Request Form should accompany this policy.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Community Sponsorships Ad Hoc Reporting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