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VIP DONOR CARE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VIP Donor Care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procedures for engaging, recognising and stewarding VIP donors at [Organisation Name], ensuring their contributions are acknowledged and used in line with the organisation's mission and values.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Definition</w:t>
      </w:r>
    </w:p>
    <w:p>
      <w:pPr>
        <w:jc w:val="both"/>
      </w:pPr>
      <w:r>
        <w:t>VIP donors are individuals or entities who provide significant financial support or resources, meeting or exceeding a contribution threshold set by the Board.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Objectives</w:t>
      </w:r>
    </w:p>
    <w:p>
      <w:pPr>
        <w:pStyle w:val="ListBullet"/>
        <w:spacing w:after="60"/>
      </w:pPr>
      <w:r>
        <w:t>build and maintain strong relationships with VIP donors;</w:t>
      </w:r>
    </w:p>
    <w:p>
      <w:pPr>
        <w:pStyle w:val="ListBullet"/>
        <w:spacing w:after="60"/>
      </w:pPr>
      <w:r>
        <w:t>ensure appropriate recognition and appreciation;</w:t>
      </w:r>
    </w:p>
    <w:p>
      <w:pPr>
        <w:pStyle w:val="ListBullet"/>
        <w:spacing w:after="60"/>
      </w:pPr>
      <w:r>
        <w:t>engage donors meaningfully to deepen their connection; and</w:t>
      </w:r>
    </w:p>
    <w:p>
      <w:pPr>
        <w:pStyle w:val="ListBullet"/>
        <w:spacing w:after="60"/>
      </w:pPr>
      <w:r>
        <w:t>comply with all legal and ethical standards in donor relations.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Identification and Qualification</w:t>
      </w:r>
    </w:p>
    <w:p>
      <w:pPr>
        <w:pStyle w:val="ListBullet"/>
        <w:spacing w:after="60"/>
      </w:pPr>
      <w:r>
        <w:t>criteria include major philanthropists, corporate sponsors, high-net-worth individuals and foundations;</w:t>
      </w:r>
    </w:p>
    <w:p>
      <w:pPr>
        <w:pStyle w:val="ListBullet"/>
        <w:spacing w:after="60"/>
      </w:pPr>
      <w:r>
        <w:t>a threshold, for example contributions of AUD 50,000 or more annually or cumulative donations exceeding AUD 250,000; and</w:t>
      </w:r>
    </w:p>
    <w:p>
      <w:pPr>
        <w:pStyle w:val="ListBullet"/>
        <w:spacing w:after="60"/>
      </w:pPr>
      <w:r>
        <w:t>identification through fundraising, donor research and recommendations from the Board and senior management.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Engagement and Stewardship</w:t>
      </w:r>
    </w:p>
    <w:p>
      <w:pPr>
        <w:pStyle w:val="ListBullet"/>
        <w:spacing w:after="60"/>
      </w:pPr>
      <w:r>
        <w:t>personalised, regular updates on the impact of contributions;</w:t>
      </w:r>
    </w:p>
    <w:p>
      <w:pPr>
        <w:pStyle w:val="ListBullet"/>
        <w:spacing w:after="60"/>
      </w:pPr>
      <w:r>
        <w:t>invitations to exclusive events and briefings;</w:t>
      </w:r>
    </w:p>
    <w:p>
      <w:pPr>
        <w:pStyle w:val="ListBullet"/>
        <w:spacing w:after="60"/>
      </w:pPr>
      <w:r>
        <w:t>public acknowledgement unless anonymity is requested;</w:t>
      </w:r>
    </w:p>
    <w:p>
      <w:pPr>
        <w:pStyle w:val="ListBullet"/>
        <w:spacing w:after="60"/>
      </w:pPr>
      <w:r>
        <w:t>detailed annual impact reports; and</w:t>
      </w:r>
    </w:p>
    <w:p>
      <w:pPr>
        <w:pStyle w:val="ListBullet"/>
        <w:spacing w:after="60"/>
      </w:pPr>
      <w:r>
        <w:t>periodic one-on-one meetings with the CEO and Board.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Benefits and Recognition</w:t>
      </w:r>
    </w:p>
    <w:p>
      <w:pPr>
        <w:pStyle w:val="ListBullet"/>
        <w:spacing w:after="60"/>
      </w:pPr>
      <w:r>
        <w:t>naming opportunities;</w:t>
      </w:r>
    </w:p>
    <w:p>
      <w:pPr>
        <w:pStyle w:val="ListBullet"/>
        <w:spacing w:after="60"/>
      </w:pPr>
      <w:r>
        <w:t>annual awards or honours; and</w:t>
      </w:r>
    </w:p>
    <w:p>
      <w:pPr>
        <w:pStyle w:val="ListBullet"/>
        <w:spacing w:after="60"/>
      </w:pPr>
      <w:r>
        <w:t>exclusive access to events, programs and facilities.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Confidentiality and Compliance</w:t>
      </w:r>
    </w:p>
    <w:p>
      <w:pPr>
        <w:pStyle w:val="ListBullet"/>
        <w:spacing w:after="60"/>
      </w:pPr>
      <w:r>
        <w:t>honour requests for anonymity and keep donor information confidential under data protection law;</w:t>
      </w:r>
    </w:p>
    <w:p>
      <w:pPr>
        <w:pStyle w:val="ListBullet"/>
        <w:spacing w:after="60"/>
      </w:pPr>
      <w:r>
        <w:t>ensure all fundraising and donor interactions are transparent and ethical and comply with ACNC guidelines; and</w:t>
      </w:r>
    </w:p>
    <w:p>
      <w:pPr>
        <w:pStyle w:val="ListBullet"/>
        <w:spacing w:after="60"/>
      </w:pPr>
      <w:r>
        <w:t>avoid and promptly disclose any conflict of interest.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Governance and Review</w:t>
      </w:r>
    </w:p>
    <w:p>
      <w:pPr>
        <w:jc w:val="both"/>
      </w:pPr>
      <w:r>
        <w:t>This policy is approved by the Board and subject to periodic review; the Development or Fundraising Director is responsible for implementation. The policy is reviewed annually, drawing on donor feedback.</w:t>
      </w:r>
    </w:p>
    <w:p>
      <w:r>
        <w:rPr>
          <w:rFonts w:ascii="Calibri" w:hAnsi="Calibri"/>
          <w:i/>
          <w:color w:val="595959"/>
          <w:sz w:val="20"/>
        </w:rPr>
        <w:t>Provide a designated contact person for VIP donors.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VIP Donor Care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