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COMPLETED RECORDS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Completed Records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standards and procedures for managing completed records at [Organisation Name], ensuring legal compliance, supporting audits and enabling transparent reporting.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 and contractors involved in creating, handling and managing completed records.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Completed Records — finalised documents no longer actively edited, including financial records, minutes, reports and correspondence;</w:t>
      </w:r>
    </w:p>
    <w:p>
      <w:pPr>
        <w:pStyle w:val="ListBullet"/>
        <w:spacing w:after="60"/>
      </w:pPr>
      <w:r>
        <w:t>Retention Period — how long a record must be kept before disposal; and</w:t>
      </w:r>
    </w:p>
    <w:p>
      <w:pPr>
        <w:pStyle w:val="ListBullet"/>
        <w:spacing w:after="60"/>
      </w:pPr>
      <w:r>
        <w:t>Audit — a systematic review of records for accuracy and 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Legal and Regulatory Requirements</w:t>
      </w:r>
    </w:p>
    <w:p>
      <w:pPr>
        <w:jc w:val="both"/>
      </w:pPr>
      <w:r>
        <w:t>The organisation complies with applicable law, including ACNC regulations, the Privacy Act 1988 (Cth), the Corporations Act 2001 (Cth) and relevant state and territory legislation.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Standards and Security</w:t>
      </w:r>
    </w:p>
    <w:p>
      <w:pPr>
        <w:pStyle w:val="ListBullet"/>
        <w:spacing w:after="60"/>
      </w:pPr>
      <w:r>
        <w:t>all completed records must be accurate, complete and verifiable, and maintained with integrity;</w:t>
      </w:r>
    </w:p>
    <w:p>
      <w:pPr>
        <w:pStyle w:val="ListBullet"/>
        <w:spacing w:after="60"/>
      </w:pPr>
      <w:r>
        <w:t>records are categorised and stored systematically;</w:t>
      </w:r>
    </w:p>
    <w:p>
      <w:pPr>
        <w:pStyle w:val="ListBullet"/>
        <w:spacing w:after="60"/>
      </w:pPr>
      <w:r>
        <w:t>physical and electronic records are safeguarded with encryption and access controls; and</w:t>
      </w:r>
    </w:p>
    <w:p>
      <w:pPr>
        <w:pStyle w:val="ListBullet"/>
        <w:spacing w:after="60"/>
      </w:pPr>
      <w:r>
        <w:t>confidential records are handled under the Privacy Act 1988 and confidentiality agreements.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Accessibility, Retention and Disposal</w:t>
      </w:r>
    </w:p>
    <w:p>
      <w:pPr>
        <w:pStyle w:val="ListBullet"/>
        <w:spacing w:after="60"/>
      </w:pPr>
      <w:r>
        <w:t>records are accessible to authorised personnel for operational, audit and reporting purposes;</w:t>
      </w:r>
    </w:p>
    <w:p>
      <w:pPr>
        <w:pStyle w:val="ListBullet"/>
        <w:spacing w:after="60"/>
      </w:pPr>
      <w:r>
        <w:t>records are retained for the legally required period (for example, financial records for at least seven years); and</w:t>
      </w:r>
    </w:p>
    <w:p>
      <w:pPr>
        <w:pStyle w:val="ListBullet"/>
        <w:spacing w:after="60"/>
      </w:pPr>
      <w:r>
        <w:t>after the retention period, records are disposed of securely (confidential records shredded or destroyed).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Audit and Reporting</w:t>
      </w:r>
    </w:p>
    <w:p>
      <w:pPr>
        <w:pStyle w:val="ListBullet"/>
        <w:spacing w:after="60"/>
      </w:pPr>
      <w:r>
        <w:t>conduct regular internal audits and facilitate external audits as required;</w:t>
      </w:r>
    </w:p>
    <w:p>
      <w:pPr>
        <w:pStyle w:val="ListBullet"/>
        <w:spacing w:after="60"/>
      </w:pPr>
      <w:r>
        <w:t>provide requested records promptly and accurately; and</w:t>
      </w:r>
    </w:p>
    <w:p>
      <w:pPr>
        <w:pStyle w:val="ListBullet"/>
        <w:spacing w:after="60"/>
      </w:pPr>
      <w:r>
        <w:t>base all reporting on verified records that comply with relevant standards.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Responsibilities, Training and Review</w:t>
      </w:r>
    </w:p>
    <w:p>
      <w:pPr>
        <w:jc w:val="both"/>
      </w:pPr>
      <w:r>
        <w:t>Management enforces the policy and provides training; employees and volunteers comply; and a Records Officer oversees practices and retention. This policy is reviewed annually.</w:t>
      </w:r>
    </w:p>
    <w:p>
      <w:r>
        <w:rPr>
          <w:rFonts w:ascii="Calibri" w:hAnsi="Calibri"/>
          <w:i/>
          <w:color w:val="595959"/>
          <w:sz w:val="20"/>
        </w:rPr>
        <w:t>Approved by: [Board/CEO]. Date: [Date]. Next review: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Completed Records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