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LOGINS, PASSWORDS AND WEBSITES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Logins, Passwords and Websites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standards and procedures for managing logins, passwords and website access at [Organisation Name], to ensure the security and compliance of all systems.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others with access to the organisation's systems and data.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Responsibilities</w:t>
      </w:r>
    </w:p>
    <w:p>
      <w:pPr>
        <w:pStyle w:val="ListBullet"/>
        <w:spacing w:after="60"/>
      </w:pPr>
      <w:r>
        <w:t>IT Department — implements and ensures compliance;</w:t>
      </w:r>
    </w:p>
    <w:p>
      <w:pPr>
        <w:pStyle w:val="ListBullet"/>
        <w:spacing w:after="60"/>
      </w:pPr>
      <w:r>
        <w:t>Employees/Users — comply with the policy and report security incidents; and</w:t>
      </w:r>
    </w:p>
    <w:p>
      <w:pPr>
        <w:pStyle w:val="ListBullet"/>
        <w:spacing w:after="60"/>
      </w:pPr>
      <w:r>
        <w:t>Management — oversees enforcement and conducts regular reviews.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Login Management</w:t>
      </w:r>
    </w:p>
    <w:p>
      <w:pPr>
        <w:pStyle w:val="ListBullet"/>
        <w:spacing w:after="60"/>
      </w:pPr>
      <w:r>
        <w:t>each user has a unique login ID;</w:t>
      </w:r>
    </w:p>
    <w:p>
      <w:pPr>
        <w:pStyle w:val="ListBullet"/>
        <w:spacing w:after="60"/>
      </w:pPr>
      <w:r>
        <w:t>access follows the principle of least privilege;</w:t>
      </w:r>
    </w:p>
    <w:p>
      <w:pPr>
        <w:pStyle w:val="ListBullet"/>
        <w:spacing w:after="60"/>
      </w:pPr>
      <w:r>
        <w:t>two-factor authentication is required for sensitive systems and data; and</w:t>
      </w:r>
    </w:p>
    <w:p>
      <w:pPr>
        <w:pStyle w:val="ListBullet"/>
        <w:spacing w:after="60"/>
      </w:pPr>
      <w:r>
        <w:t>accounts lock after five unsuccessful attempts, unlocked only by IT.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Password Policy</w:t>
      </w:r>
    </w:p>
    <w:p>
      <w:pPr>
        <w:pStyle w:val="ListBullet"/>
        <w:spacing w:after="60"/>
      </w:pPr>
      <w:r>
        <w:t>passwords are at least 12 characters with a mix of upper and lower case, numbers and special characters;</w:t>
      </w:r>
    </w:p>
    <w:p>
      <w:pPr>
        <w:pStyle w:val="ListBullet"/>
        <w:spacing w:after="60"/>
      </w:pPr>
      <w:r>
        <w:t>passwords are changed every 90 days and the last five cannot be reused;</w:t>
      </w:r>
    </w:p>
    <w:p>
      <w:pPr>
        <w:pStyle w:val="ListBullet"/>
        <w:spacing w:after="60"/>
      </w:pPr>
      <w:r>
        <w:t>passwords are stored in an approved encrypted password manager, never in plain text; and</w:t>
      </w:r>
    </w:p>
    <w:p>
      <w:pPr>
        <w:pStyle w:val="ListBullet"/>
        <w:spacing w:after="60"/>
      </w:pPr>
      <w:r>
        <w:t>password sharing is prohibited.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Website Access and Management</w:t>
      </w:r>
    </w:p>
    <w:p>
      <w:pPr>
        <w:pStyle w:val="ListBullet"/>
        <w:spacing w:after="60"/>
      </w:pPr>
      <w:r>
        <w:t>access only websites authorised for official purposes, over HTTPS;</w:t>
      </w:r>
    </w:p>
    <w:p>
      <w:pPr>
        <w:pStyle w:val="ListBullet"/>
        <w:spacing w:after="60"/>
      </w:pPr>
      <w:r>
        <w:t>use two-factor authentication for administrative website access; and</w:t>
      </w:r>
    </w:p>
    <w:p>
      <w:pPr>
        <w:pStyle w:val="ListBullet"/>
        <w:spacing w:after="60"/>
      </w:pPr>
      <w:r>
        <w:t>log and regularly review all access and changes to websites.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Incident Management</w:t>
      </w:r>
    </w:p>
    <w:p>
      <w:pPr>
        <w:pStyle w:val="ListBullet"/>
        <w:spacing w:after="60"/>
      </w:pPr>
      <w:r>
        <w:t>ensure data-handling practices comply with the Privacy Act 1988 (Cth) and ACNC guidelines, with regular training and audits;</w:t>
      </w:r>
    </w:p>
    <w:p>
      <w:pPr>
        <w:pStyle w:val="ListBullet"/>
        <w:spacing w:after="60"/>
      </w:pPr>
      <w:r>
        <w:t>report all security incidents to IT immediately, following the incident response plan; and</w:t>
      </w:r>
    </w:p>
    <w:p>
      <w:pPr>
        <w:pStyle w:val="ListBullet"/>
        <w:spacing w:after="60"/>
      </w:pPr>
      <w:r>
        <w:t>notify affected individuals and authorities as required by law in the event of a data breach.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Enforcement and Review</w:t>
      </w:r>
    </w:p>
    <w:p>
      <w:pPr>
        <w:jc w:val="both"/>
      </w:pPr>
      <w:r>
        <w:t>Non-compliance may result in disciplinary action up to termination. This policy is reviewed annually, or as needed, and user feedback is welcomed.</w:t>
      </w:r>
    </w:p>
    <w:p>
      <w:r>
        <w:rPr>
          <w:rFonts w:ascii="Calibri" w:hAnsi="Calibri"/>
          <w:i/>
          <w:color w:val="595959"/>
          <w:sz w:val="20"/>
        </w:rPr>
        <w:t>IT enquiries: [contact email/phone].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Logins, Passwords and Websites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