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RISK MANAGEMENT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Risk Management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how [Organisation Name] identifies, assesses, manages and mitigates risks that may affect its ability to achieve its objectives, fostering a proactive risk management culture that supports good decision-making and long-term sustainability.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contractors, directors and other stakeholders, covering financial, operational, legal, reputational and strategic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Risk — the possibility that an event or action adversely affects the organisation's objectives;</w:t>
      </w:r>
    </w:p>
    <w:p>
      <w:pPr>
        <w:pStyle w:val="ListBullet"/>
        <w:spacing w:after="60"/>
      </w:pPr>
      <w:r>
        <w:t>Risk Management — identifying, assessing and controlling risks to minimise impact;</w:t>
      </w:r>
    </w:p>
    <w:p>
      <w:pPr>
        <w:pStyle w:val="ListBullet"/>
        <w:spacing w:after="60"/>
      </w:pPr>
      <w:r>
        <w:t>Risk Assessment — evaluating potential risks; and</w:t>
      </w:r>
    </w:p>
    <w:p>
      <w:pPr>
        <w:pStyle w:val="ListBullet"/>
        <w:spacing w:after="60"/>
      </w:pPr>
      <w:r>
        <w:t>Risk Mitigation — actions taken to reduce or eliminate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Policy Statement</w:t>
      </w:r>
    </w:p>
    <w:p>
      <w:pPr>
        <w:jc w:val="both"/>
      </w:pPr>
      <w:r>
        <w:t>[Organisation Name] is committed to effective risk management, and will identify and assess risks across all areas, implement mitigation strategies, monitor and review risks, and foster a culture of risk awareness.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Responsibilities</w:t>
      </w:r>
    </w:p>
    <w:p>
      <w:pPr>
        <w:pStyle w:val="ListBullet"/>
        <w:spacing w:after="60"/>
      </w:pPr>
      <w:r>
        <w:t>Board — oversees the framework and ensures alignment with strategy;</w:t>
      </w:r>
    </w:p>
    <w:p>
      <w:pPr>
        <w:pStyle w:val="ListBullet"/>
        <w:spacing w:after="60"/>
      </w:pPr>
      <w:r>
        <w:t>Executive Director/CEO — leads the process, ensuring risks are identified, assessed and managed;</w:t>
      </w:r>
    </w:p>
    <w:p>
      <w:pPr>
        <w:pStyle w:val="ListBullet"/>
        <w:spacing w:after="60"/>
      </w:pPr>
      <w:r>
        <w:t>Risk Management Committee — supports identification, assessment and mitigation; and</w:t>
      </w:r>
    </w:p>
    <w:p>
      <w:pPr>
        <w:pStyle w:val="ListBullet"/>
        <w:spacing w:after="60"/>
      </w:pPr>
      <w:r>
        <w:t>All Staff and Volunteers — comply, report potential risks and participate in risk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Risk Management Process</w:t>
      </w:r>
    </w:p>
    <w:p>
      <w:pPr>
        <w:pStyle w:val="ListBullet"/>
        <w:spacing w:after="60"/>
      </w:pPr>
      <w:r>
        <w:t>Identification — regularly identify potential risks, engaging staff and stakeholders;</w:t>
      </w:r>
    </w:p>
    <w:p>
      <w:pPr>
        <w:pStyle w:val="ListBullet"/>
        <w:spacing w:after="60"/>
      </w:pPr>
      <w:r>
        <w:t>Assessment — assess risks by likelihood and impact and categorise as low, medium or high priority;</w:t>
      </w:r>
    </w:p>
    <w:p>
      <w:pPr>
        <w:pStyle w:val="ListBullet"/>
        <w:spacing w:after="60"/>
      </w:pPr>
      <w:r>
        <w:t>Mitigation — develop and implement strategies for high-priority risks and assign responsibility; and</w:t>
      </w:r>
    </w:p>
    <w:p>
      <w:pPr>
        <w:pStyle w:val="ListBullet"/>
        <w:spacing w:after="60"/>
      </w:pPr>
      <w:r>
        <w:t>Monitoring and review — monitor the effectiveness of strategies, review the process periodically and report to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Risk Register and Training</w:t>
      </w:r>
    </w:p>
    <w:p>
      <w:pPr>
        <w:pStyle w:val="ListBullet"/>
        <w:spacing w:after="60"/>
      </w:pPr>
      <w:r>
        <w:t>maintain a Risk Register documenting risks, assessments, mitigation and monitoring, updated regularly; and</w:t>
      </w:r>
    </w:p>
    <w:p>
      <w:pPr>
        <w:pStyle w:val="ListBullet"/>
        <w:spacing w:after="60"/>
      </w:pPr>
      <w:r>
        <w:t>provide training and promote awareness of risk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Review</w:t>
      </w:r>
    </w:p>
    <w:p>
      <w:pPr>
        <w:jc w:val="both"/>
      </w:pPr>
      <w:r>
        <w:t>Ensure compliance with relevant Australian law, including ACNC requirements, report significant risks to the Board, and review this policy annually or more frequently if required.</w:t>
      </w:r>
    </w:p>
    <w:p>
      <w:r>
        <w:rPr>
          <w:rFonts w:ascii="Calibri" w:hAnsi="Calibri"/>
          <w:i/>
          <w:color w:val="595959"/>
          <w:sz w:val="20"/>
        </w:rPr>
        <w:t>Related: Financial Management, Health and Safety, Code of Conduct and Governance policies.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Risk Management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