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A5F"/>
          <w:sz w:val="34"/>
          <w:szCs w:val="34"/>
        </w:rPr>
        <w:t xml:space="preserve">Portfolio Content Map &amp; Identity Kit</w:t>
      </w:r>
    </w:p>
    <w:p>
      <w:pPr>
        <w:spacing w:after="160"/>
      </w:pPr>
      <w:r>
        <w:rPr>
          <w:i/>
          <w:iCs/>
          <w:color w:val="555555"/>
          <w:sz w:val="19"/>
          <w:szCs w:val="19"/>
        </w:rPr>
        <w:t xml:space="preserve">[Your Name] · [Date] · Week 3 — Map It &amp; Give It a Face</w:t>
      </w:r>
    </w:p>
    <w:p>
      <w:pPr>
        <w:pStyle w:val="Heading1"/>
        <w:pBdr>
          <w:bottom w:val="single" w:color="1F3A5F" w:sz="6" w:space="4"/>
        </w:pBdr>
        <w:spacing w:after="100" w:before="280"/>
      </w:pPr>
      <w:r>
        <w:rPr>
          <w:b/>
          <w:bCs/>
          <w:color w:val="1F3A5F"/>
        </w:rPr>
        <w:t xml:space="preserve">1. The one-line claim</w:t>
      </w:r>
    </w:p>
    <w:p>
      <w:pPr>
        <w:spacing w:after="80"/>
      </w:pPr>
      <w:r>
        <w:rPr>
          <w:b w:val="false"/>
          <w:bCs w:val="false"/>
          <w:i w:val="false"/>
          <w:iCs w:val="false"/>
          <w:sz w:val="20"/>
          <w:szCs w:val="20"/>
        </w:rPr>
        <w:t xml:space="preserve">Ten options, generated from my FL-02 proof statement, then narrowed by hand — the choosing is mine, not AI's.</w:t>
      </w:r>
    </w:p>
    <w:p>
      <w:pPr>
        <w:pStyle w:val="ListParagraph"/>
        <w:numPr>
          <w:ilvl w:val="0"/>
          <w:numId w:val="1"/>
        </w:numPr>
        <w:spacing w:after="40"/>
      </w:pPr>
      <w:r>
        <w:rPr>
          <w:sz w:val="20"/>
          <w:szCs w:val="20"/>
        </w:rPr>
        <w:t xml:space="preserve">1. I ship ranking models I've already tried to break.</w:t>
      </w:r>
    </w:p>
    <w:p>
      <w:pPr>
        <w:pStyle w:val="ListParagraph"/>
        <w:numPr>
          <w:ilvl w:val="0"/>
          <w:numId w:val="1"/>
        </w:numPr>
        <w:spacing w:after="40"/>
      </w:pPr>
      <w:r>
        <w:rPr>
          <w:sz w:val="20"/>
          <w:szCs w:val="20"/>
        </w:rPr>
        <w:t xml:space="preserve">2. I don't trust a model's number until I've tried to break it.</w:t>
      </w:r>
    </w:p>
    <w:p>
      <w:pPr>
        <w:pStyle w:val="ListParagraph"/>
        <w:numPr>
          <w:ilvl w:val="0"/>
          <w:numId w:val="1"/>
        </w:numPr>
        <w:spacing w:after="40"/>
      </w:pPr>
      <w:r>
        <w:rPr>
          <w:sz w:val="20"/>
          <w:szCs w:val="20"/>
        </w:rPr>
        <w:t xml:space="preserve">3. I build ranking models, then find their weak spot before you do.</w:t>
      </w:r>
    </w:p>
    <w:p>
      <w:pPr>
        <w:pStyle w:val="ListParagraph"/>
        <w:numPr>
          <w:ilvl w:val="0"/>
          <w:numId w:val="1"/>
        </w:numPr>
        <w:spacing w:after="40"/>
      </w:pPr>
      <w:r>
        <w:rPr>
          <w:sz w:val="20"/>
          <w:szCs w:val="20"/>
        </w:rPr>
        <w:t xml:space="preserve">4. Real data is messy. I validate before I ship, not after.</w:t>
      </w:r>
    </w:p>
    <w:p>
      <w:pPr>
        <w:pStyle w:val="ListParagraph"/>
        <w:numPr>
          <w:ilvl w:val="0"/>
          <w:numId w:val="1"/>
        </w:numPr>
        <w:spacing w:after="40"/>
      </w:pPr>
      <w:r>
        <w:rPr>
          <w:sz w:val="20"/>
          <w:szCs w:val="20"/>
        </w:rPr>
        <w:t xml:space="preserve">5. I catch my own inflated metrics before they leave my laptop.</w:t>
      </w:r>
    </w:p>
    <w:p>
      <w:pPr>
        <w:pStyle w:val="ListParagraph"/>
        <w:numPr>
          <w:ilvl w:val="0"/>
          <w:numId w:val="1"/>
        </w:numPr>
        <w:spacing w:after="40"/>
      </w:pPr>
      <w:r>
        <w:rPr>
          <w:sz w:val="20"/>
          <w:szCs w:val="20"/>
        </w:rPr>
        <w:t xml:space="preserve">6. I build ML that ranks priorities — and survives a fair test.</w:t>
      </w:r>
    </w:p>
    <w:p>
      <w:pPr>
        <w:pStyle w:val="ListParagraph"/>
        <w:numPr>
          <w:ilvl w:val="0"/>
          <w:numId w:val="1"/>
        </w:numPr>
        <w:spacing w:after="40"/>
      </w:pPr>
      <w:r>
        <w:rPr>
          <w:sz w:val="20"/>
          <w:szCs w:val="20"/>
        </w:rPr>
        <w:t xml:space="preserve">7. Junior ML engineer who checks the math before you have to.</w:t>
      </w:r>
    </w:p>
    <w:p>
      <w:pPr>
        <w:pStyle w:val="ListParagraph"/>
        <w:numPr>
          <w:ilvl w:val="0"/>
          <w:numId w:val="1"/>
        </w:numPr>
        <w:spacing w:after="40"/>
      </w:pPr>
      <w:r>
        <w:rPr>
          <w:sz w:val="20"/>
          <w:szCs w:val="20"/>
        </w:rPr>
        <w:t xml:space="preserve">8. I turn messy data into a ranking model you can actually trust.</w:t>
      </w:r>
    </w:p>
    <w:p>
      <w:pPr>
        <w:pStyle w:val="ListParagraph"/>
        <w:numPr>
          <w:ilvl w:val="0"/>
          <w:numId w:val="1"/>
        </w:numPr>
        <w:spacing w:after="40"/>
      </w:pPr>
      <w:r>
        <w:rPr>
          <w:sz w:val="20"/>
          <w:szCs w:val="20"/>
        </w:rPr>
        <w:t xml:space="preserve">9. I ship validated ranking models, not demo-day numbers.</w:t>
      </w:r>
    </w:p>
    <w:p>
      <w:pPr>
        <w:pStyle w:val="ListParagraph"/>
        <w:numPr>
          <w:ilvl w:val="0"/>
          <w:numId w:val="1"/>
        </w:numPr>
        <w:spacing w:after="40"/>
      </w:pPr>
      <w:r>
        <w:rPr>
          <w:sz w:val="20"/>
          <w:szCs w:val="20"/>
        </w:rPr>
        <w:t xml:space="preserve">10. I don't ship a metric I haven't tried to disprove.</w:t>
      </w:r>
    </w:p>
    <w:p>
      <w:pPr>
        <w:spacing w:after="40"/>
      </w:pPr>
      <w:r>
        <w:rPr>
          <w:b w:val="false"/>
          <w:bCs w:val="false"/>
          <w:i w:val="false"/>
          <w:iCs w:val="false"/>
          <w:sz w:val="20"/>
          <w:szCs w:val="20"/>
        </w:rPr>
        <w:t xml:space="preserve"/>
      </w:r>
    </w:p>
    <w:p>
      <w:pPr>
        <w:pStyle w:val="Heading2"/>
        <w:spacing w:after="80" w:before="180"/>
      </w:pPr>
      <w:r>
        <w:rPr>
          <w:b/>
          <w:bCs/>
          <w:color w:val="1F3A5F"/>
        </w:rPr>
        <w:t xml:space="preserve">Chosen and sharpened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3A5F" w:color="auto" w:val="clear"/>
            <w:tcMar>
              <w:top w:type="dxa" w:w="160"/>
              <w:left w:type="dxa" w:w="220"/>
              <w:bottom w:type="dxa" w:w="160"/>
              <w:right w:type="dxa" w:w="220"/>
            </w:tcMar>
          </w:tcPr>
          <w:p>
            <w:r>
              <w:rPr>
                <w:b/>
                <w:bCs/>
                <w:color w:val="FFFFFF"/>
                <w:sz w:val="26"/>
                <w:szCs w:val="26"/>
              </w:rPr>
              <w:t xml:space="preserve">“I ship ranking models I've already tried to break.”</w:t>
            </w:r>
          </w:p>
        </w:tc>
      </w:tr>
    </w:tbl>
    <w:p>
      <w:pPr>
        <w:spacing w:after="160"/>
      </w:pPr>
      <w:r>
        <w:rPr>
          <w:b w:val="false"/>
          <w:bCs w:val="false"/>
          <w:i w:val="false"/>
          <w:iCs w:val="false"/>
          <w:sz w:val="20"/>
          <w:szCs w:val="20"/>
        </w:rPr>
        <w:t xml:space="preserve">Why this one, not #2 or #10: it names the skill (ranking models) AND the proof (I break my own work first) in one clause, without the word "validated" or "trust," both of which every competing ML portfolio also uses. It reads as a claim a specific person made, not a category of person.</w:t>
      </w:r>
    </w:p>
    <w:p>
      <w:pPr>
        <w:pStyle w:val="Heading1"/>
        <w:pBdr>
          <w:bottom w:val="single" w:color="1F3A5F" w:sz="6" w:space="4"/>
        </w:pBdr>
        <w:spacing w:after="100" w:before="280"/>
      </w:pPr>
      <w:r>
        <w:rPr>
          <w:b/>
          <w:bCs/>
          <w:color w:val="1F3A5F"/>
        </w:rPr>
        <w:t xml:space="preserve">2. Content map</w:t>
      </w:r>
    </w:p>
    <w:p>
      <w:pPr>
        <w:spacing w:after="100"/>
      </w:pPr>
      <w:r>
        <w:rPr>
          <w:b w:val="false"/>
          <w:bCs w:val="false"/>
          <w:i w:val="false"/>
          <w:iCs w:val="false"/>
          <w:sz w:val="20"/>
          <w:szCs w:val="20"/>
        </w:rPr>
        <w:t xml:space="preserve">Four pages from the FL-02 sitemap. Every section ladders toward the one action: email me directly.</w:t>
      </w:r>
    </w:p>
    <w:p>
      <w:pPr>
        <w:pStyle w:val="Heading2"/>
        <w:spacing w:after="80" w:before="180"/>
      </w:pPr>
      <w:r>
        <w:rPr>
          <w:b/>
          <w:bCs/>
          <w:color w:val="1F3A5F"/>
        </w:rPr>
        <w:t xml:space="preserve">Home /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shd w:fill="1F3A5F" w:color="auto" w:val="clear"/>
            <w:tcMar>
              <w:top w:type="dxa" w:w="80"/>
              <w:left w:type="dxa" w:w="100"/>
              <w:bottom w:type="dxa" w:w="80"/>
              <w:right w:type="dxa" w:w="100"/>
            </w:tcMar>
          </w:tcPr>
          <w:p>
            <w:r>
              <w:rPr>
                <w:b/>
                <w:bCs/>
                <w:color w:val="FFFFFF"/>
                <w:sz w:val="18"/>
                <w:szCs w:val="18"/>
              </w:rPr>
              <w:t xml:space="preserve">Section (in order)</w:t>
            </w:r>
          </w:p>
        </w:tc>
        <w:tc>
          <w:tcPr>
            <w:tcW w:type="dxa" w:w="4400"/>
            <w:shd w:fill="1F3A5F" w:color="auto" w:val="clear"/>
            <w:tcMar>
              <w:top w:type="dxa" w:w="80"/>
              <w:left w:type="dxa" w:w="100"/>
              <w:bottom w:type="dxa" w:w="80"/>
              <w:right w:type="dxa" w:w="100"/>
            </w:tcMar>
          </w:tcPr>
          <w:p>
            <w:r>
              <w:rPr>
                <w:b/>
                <w:bCs/>
                <w:color w:val="FFFFFF"/>
                <w:sz w:val="18"/>
                <w:szCs w:val="18"/>
              </w:rPr>
              <w:t xml:space="preserve">Content</w:t>
            </w:r>
          </w:p>
        </w:tc>
        <w:tc>
          <w:tcPr>
            <w:tcW w:type="dxa" w:w="2260"/>
            <w:shd w:fill="1F3A5F" w:color="auto" w:val="clear"/>
            <w:tcMar>
              <w:top w:type="dxa" w:w="80"/>
              <w:left w:type="dxa" w:w="100"/>
              <w:bottom w:type="dxa" w:w="80"/>
              <w:right w:type="dxa" w:w="100"/>
            </w:tcMar>
          </w:tcPr>
          <w:p>
            <w:r>
              <w:rPr>
                <w:b/>
                <w:bCs/>
                <w:color w:val="FFFFFF"/>
                <w:sz w:val="18"/>
                <w:szCs w:val="18"/>
              </w:rPr>
              <w:t xml:space="preserve">Named CTA</w:t>
            </w:r>
          </w:p>
        </w:tc>
      </w:tr>
      <w:tr>
        <w:tc>
          <w:tcPr>
            <w:tcW w:type="dxa" w:w="2700"/>
            <w:tcMar>
              <w:top w:type="dxa" w:w="70"/>
              <w:left w:type="dxa" w:w="100"/>
              <w:bottom w:type="dxa" w:w="70"/>
              <w:right w:type="dxa" w:w="100"/>
            </w:tcMar>
          </w:tcPr>
          <w:p>
            <w:r>
              <w:rPr>
                <w:b w:val="false"/>
                <w:bCs w:val="false"/>
                <w:sz w:val="18"/>
                <w:szCs w:val="18"/>
              </w:rPr>
              <w:t xml:space="preserve">1. Hero</w:t>
            </w:r>
          </w:p>
        </w:tc>
        <w:tc>
          <w:tcPr>
            <w:tcW w:type="dxa" w:w="4400"/>
            <w:tcMar>
              <w:top w:type="dxa" w:w="70"/>
              <w:left w:type="dxa" w:w="100"/>
              <w:bottom w:type="dxa" w:w="70"/>
              <w:right w:type="dxa" w:w="100"/>
            </w:tcMar>
          </w:tcPr>
          <w:p>
            <w:r>
              <w:rPr>
                <w:b w:val="false"/>
                <w:bCs w:val="false"/>
                <w:sz w:val="18"/>
                <w:szCs w:val="18"/>
              </w:rPr>
              <w:t xml:space="preserve">One-line claim + “email me” button</w:t>
            </w:r>
          </w:p>
        </w:tc>
        <w:tc>
          <w:tcPr>
            <w:tcW w:type="dxa" w:w="2260"/>
            <w:tcMar>
              <w:top w:type="dxa" w:w="70"/>
              <w:left w:type="dxa" w:w="100"/>
              <w:bottom w:type="dxa" w:w="70"/>
              <w:right w:type="dxa" w:w="100"/>
            </w:tcMar>
          </w:tcPr>
          <w:p>
            <w:r>
              <w:rPr>
                <w:b/>
                <w:bCs/>
                <w:sz w:val="18"/>
                <w:szCs w:val="18"/>
              </w:rPr>
              <w:t xml:space="preserve">Email me</w:t>
            </w:r>
          </w:p>
        </w:tc>
      </w:tr>
      <w:tr>
        <w:tc>
          <w:tcPr>
            <w:tcW w:type="dxa" w:w="2700"/>
            <w:shd w:fill="EDF1F7" w:color="auto" w:val="clear"/>
            <w:tcMar>
              <w:top w:type="dxa" w:w="70"/>
              <w:left w:type="dxa" w:w="100"/>
              <w:bottom w:type="dxa" w:w="70"/>
              <w:right w:type="dxa" w:w="100"/>
            </w:tcMar>
          </w:tcPr>
          <w:p>
            <w:r>
              <w:rPr>
                <w:b w:val="false"/>
                <w:bCs w:val="false"/>
                <w:sz w:val="18"/>
                <w:szCs w:val="18"/>
              </w:rPr>
              <w:t xml:space="preserve">2. Proof strip</w:t>
            </w:r>
          </w:p>
        </w:tc>
        <w:tc>
          <w:tcPr>
            <w:tcW w:type="dxa" w:w="4400"/>
            <w:shd w:fill="EDF1F7" w:color="auto" w:val="clear"/>
            <w:tcMar>
              <w:top w:type="dxa" w:w="70"/>
              <w:left w:type="dxa" w:w="100"/>
              <w:bottom w:type="dxa" w:w="70"/>
              <w:right w:type="dxa" w:w="100"/>
            </w:tcMar>
          </w:tcPr>
          <w:p>
            <w:r>
              <w:rPr>
                <w:b w:val="false"/>
                <w:bCs w:val="false"/>
                <w:sz w:val="18"/>
                <w:szCs w:val="18"/>
              </w:rPr>
              <w:t xml:space="preserve">One-sentence result from the strongest case (FlyRank ranking work)</w:t>
            </w:r>
          </w:p>
        </w:tc>
        <w:tc>
          <w:tcPr>
            <w:tcW w:type="dxa" w:w="2260"/>
            <w:shd w:fill="EDF1F7" w:color="auto" w:val="clear"/>
            <w:tcMar>
              <w:top w:type="dxa" w:w="70"/>
              <w:left w:type="dxa" w:w="100"/>
              <w:bottom w:type="dxa" w:w="70"/>
              <w:right w:type="dxa" w:w="100"/>
            </w:tcMar>
          </w:tcPr>
          <w:p>
            <w:r>
              <w:rPr>
                <w:b/>
                <w:bCs/>
                <w:sz w:val="18"/>
                <w:szCs w:val="18"/>
              </w:rPr>
              <w:t xml:space="preserve">See the work ↓</w:t>
            </w:r>
          </w:p>
        </w:tc>
      </w:tr>
    </w:tbl>
    <w:p>
      <w:pPr>
        <w:pStyle w:val="Heading2"/>
        <w:spacing w:after="80" w:before="180"/>
      </w:pPr>
      <w:r>
        <w:rPr>
          <w:b/>
          <w:bCs/>
          <w:color w:val="1F3A5F"/>
        </w:rPr>
        <w:t xml:space="preserv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shd w:fill="1F3A5F" w:color="auto" w:val="clear"/>
            <w:tcMar>
              <w:top w:type="dxa" w:w="80"/>
              <w:left w:type="dxa" w:w="100"/>
              <w:bottom w:type="dxa" w:w="80"/>
              <w:right w:type="dxa" w:w="100"/>
            </w:tcMar>
          </w:tcPr>
          <w:p>
            <w:r>
              <w:rPr>
                <w:b/>
                <w:bCs/>
                <w:color w:val="FFFFFF"/>
                <w:sz w:val="18"/>
                <w:szCs w:val="18"/>
              </w:rPr>
              <w:t xml:space="preserve">Section (in order)</w:t>
            </w:r>
          </w:p>
        </w:tc>
        <w:tc>
          <w:tcPr>
            <w:tcW w:type="dxa" w:w="4400"/>
            <w:shd w:fill="1F3A5F" w:color="auto" w:val="clear"/>
            <w:tcMar>
              <w:top w:type="dxa" w:w="80"/>
              <w:left w:type="dxa" w:w="100"/>
              <w:bottom w:type="dxa" w:w="80"/>
              <w:right w:type="dxa" w:w="100"/>
            </w:tcMar>
          </w:tcPr>
          <w:p>
            <w:r>
              <w:rPr>
                <w:b/>
                <w:bCs/>
                <w:color w:val="FFFFFF"/>
                <w:sz w:val="18"/>
                <w:szCs w:val="18"/>
              </w:rPr>
              <w:t xml:space="preserve">Content</w:t>
            </w:r>
          </w:p>
        </w:tc>
        <w:tc>
          <w:tcPr>
            <w:tcW w:type="dxa" w:w="2260"/>
            <w:shd w:fill="1F3A5F" w:color="auto" w:val="clear"/>
            <w:tcMar>
              <w:top w:type="dxa" w:w="80"/>
              <w:left w:type="dxa" w:w="100"/>
              <w:bottom w:type="dxa" w:w="80"/>
              <w:right w:type="dxa" w:w="100"/>
            </w:tcMar>
          </w:tcPr>
          <w:p>
            <w:r>
              <w:rPr>
                <w:b/>
                <w:bCs/>
                <w:color w:val="FFFFFF"/>
                <w:sz w:val="18"/>
                <w:szCs w:val="18"/>
              </w:rPr>
              <w:t xml:space="preserve">Named CTA</w:t>
            </w:r>
          </w:p>
        </w:tc>
      </w:tr>
      <w:tr>
        <w:tc>
          <w:tcPr>
            <w:tcW w:type="dxa" w:w="2700"/>
            <w:tcMar>
              <w:top w:type="dxa" w:w="70"/>
              <w:left w:type="dxa" w:w="100"/>
              <w:bottom w:type="dxa" w:w="70"/>
              <w:right w:type="dxa" w:w="100"/>
            </w:tcMar>
          </w:tcPr>
          <w:p>
            <w:r>
              <w:rPr>
                <w:b w:val="false"/>
                <w:bCs w:val="false"/>
                <w:sz w:val="18"/>
                <w:szCs w:val="18"/>
              </w:rPr>
              <w:t xml:space="preserve">1. Case 1 (lead, strongest)</w:t>
            </w:r>
          </w:p>
        </w:tc>
        <w:tc>
          <w:tcPr>
            <w:tcW w:type="dxa" w:w="4400"/>
            <w:tcMar>
              <w:top w:type="dxa" w:w="70"/>
              <w:left w:type="dxa" w:w="100"/>
              <w:bottom w:type="dxa" w:w="70"/>
              <w:right w:type="dxa" w:w="100"/>
            </w:tcMar>
          </w:tcPr>
          <w:p>
            <w:r>
              <w:rPr>
                <w:b w:val="false"/>
                <w:bCs w:val="false"/>
                <w:sz w:val="18"/>
                <w:szCs w:val="18"/>
              </w:rPr>
              <w:t xml:space="preserve">FlyRank content-refresh ranking model — problem, decision, result, the 0.70→0.64 catch</w:t>
            </w:r>
          </w:p>
        </w:tc>
        <w:tc>
          <w:tcPr>
            <w:tcW w:type="dxa" w:w="2260"/>
            <w:tcMar>
              <w:top w:type="dxa" w:w="70"/>
              <w:left w:type="dxa" w:w="100"/>
              <w:bottom w:type="dxa" w:w="70"/>
              <w:right w:type="dxa" w:w="100"/>
            </w:tcMar>
          </w:tcPr>
          <w:p>
            <w:r>
              <w:rPr>
                <w:b/>
                <w:bCs/>
                <w:sz w:val="18"/>
                <w:szCs w:val="18"/>
              </w:rPr>
              <w:t xml:space="preserve">Email me about this</w:t>
            </w:r>
          </w:p>
        </w:tc>
      </w:tr>
      <w:tr>
        <w:tc>
          <w:tcPr>
            <w:tcW w:type="dxa" w:w="2700"/>
            <w:shd w:fill="EDF1F7" w:color="auto" w:val="clear"/>
            <w:tcMar>
              <w:top w:type="dxa" w:w="70"/>
              <w:left w:type="dxa" w:w="100"/>
              <w:bottom w:type="dxa" w:w="70"/>
              <w:right w:type="dxa" w:w="100"/>
            </w:tcMar>
          </w:tcPr>
          <w:p>
            <w:r>
              <w:rPr>
                <w:b w:val="false"/>
                <w:bCs w:val="false"/>
                <w:sz w:val="18"/>
                <w:szCs w:val="18"/>
              </w:rPr>
              <w:t xml:space="preserve">2. Case 2 (once it exists)</w:t>
            </w:r>
          </w:p>
        </w:tc>
        <w:tc>
          <w:tcPr>
            <w:tcW w:type="dxa" w:w="4400"/>
            <w:shd w:fill="EDF1F7" w:color="auto" w:val="clear"/>
            <w:tcMar>
              <w:top w:type="dxa" w:w="70"/>
              <w:left w:type="dxa" w:w="100"/>
              <w:bottom w:type="dxa" w:w="70"/>
              <w:right w:type="dxa" w:w="100"/>
            </w:tcMar>
          </w:tcPr>
          <w:p>
            <w:r>
              <w:rPr>
                <w:b w:val="false"/>
                <w:bCs w:val="false"/>
                <w:sz w:val="18"/>
                <w:szCs w:val="18"/>
              </w:rPr>
              <w:t xml:space="preserve">Placeholder — flagged on gather-list, not filled with a fake project</w:t>
            </w:r>
          </w:p>
        </w:tc>
        <w:tc>
          <w:tcPr>
            <w:tcW w:type="dxa" w:w="2260"/>
            <w:shd w:fill="EDF1F7" w:color="auto" w:val="clear"/>
            <w:tcMar>
              <w:top w:type="dxa" w:w="70"/>
              <w:left w:type="dxa" w:w="100"/>
              <w:bottom w:type="dxa" w:w="70"/>
              <w:right w:type="dxa" w:w="100"/>
            </w:tcMar>
          </w:tcPr>
          <w:p>
            <w:r>
              <w:rPr>
                <w:b/>
                <w:bCs/>
                <w:sz w:val="18"/>
                <w:szCs w:val="18"/>
              </w:rPr>
              <w:t xml:space="preserve">Email me about this</w:t>
            </w:r>
          </w:p>
        </w:tc>
      </w:tr>
    </w:tbl>
    <w:p>
      <w:pPr>
        <w:pStyle w:val="Heading2"/>
        <w:spacing w:after="80" w:before="180"/>
      </w:pPr>
      <w:r>
        <w:rPr>
          <w:b/>
          <w:bCs/>
          <w:color w:val="1F3A5F"/>
        </w:rPr>
        <w:t xml:space="preserve">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shd w:fill="1F3A5F" w:color="auto" w:val="clear"/>
            <w:tcMar>
              <w:top w:type="dxa" w:w="80"/>
              <w:left w:type="dxa" w:w="100"/>
              <w:bottom w:type="dxa" w:w="80"/>
              <w:right w:type="dxa" w:w="100"/>
            </w:tcMar>
          </w:tcPr>
          <w:p>
            <w:r>
              <w:rPr>
                <w:b/>
                <w:bCs/>
                <w:color w:val="FFFFFF"/>
                <w:sz w:val="18"/>
                <w:szCs w:val="18"/>
              </w:rPr>
              <w:t xml:space="preserve">Section (in order)</w:t>
            </w:r>
          </w:p>
        </w:tc>
        <w:tc>
          <w:tcPr>
            <w:tcW w:type="dxa" w:w="4400"/>
            <w:shd w:fill="1F3A5F" w:color="auto" w:val="clear"/>
            <w:tcMar>
              <w:top w:type="dxa" w:w="80"/>
              <w:left w:type="dxa" w:w="100"/>
              <w:bottom w:type="dxa" w:w="80"/>
              <w:right w:type="dxa" w:w="100"/>
            </w:tcMar>
          </w:tcPr>
          <w:p>
            <w:r>
              <w:rPr>
                <w:b/>
                <w:bCs/>
                <w:color w:val="FFFFFF"/>
                <w:sz w:val="18"/>
                <w:szCs w:val="18"/>
              </w:rPr>
              <w:t xml:space="preserve">Content</w:t>
            </w:r>
          </w:p>
        </w:tc>
        <w:tc>
          <w:tcPr>
            <w:tcW w:type="dxa" w:w="2260"/>
            <w:shd w:fill="1F3A5F" w:color="auto" w:val="clear"/>
            <w:tcMar>
              <w:top w:type="dxa" w:w="80"/>
              <w:left w:type="dxa" w:w="100"/>
              <w:bottom w:type="dxa" w:w="80"/>
              <w:right w:type="dxa" w:w="100"/>
            </w:tcMar>
          </w:tcPr>
          <w:p>
            <w:r>
              <w:rPr>
                <w:b/>
                <w:bCs/>
                <w:color w:val="FFFFFF"/>
                <w:sz w:val="18"/>
                <w:szCs w:val="18"/>
              </w:rPr>
              <w:t xml:space="preserve">Named CTA</w:t>
            </w:r>
          </w:p>
        </w:tc>
      </w:tr>
      <w:tr>
        <w:tc>
          <w:tcPr>
            <w:tcW w:type="dxa" w:w="2700"/>
            <w:tcMar>
              <w:top w:type="dxa" w:w="70"/>
              <w:left w:type="dxa" w:w="100"/>
              <w:bottom w:type="dxa" w:w="70"/>
              <w:right w:type="dxa" w:w="100"/>
            </w:tcMar>
          </w:tcPr>
          <w:p>
            <w:r>
              <w:rPr>
                <w:b w:val="false"/>
                <w:bCs w:val="false"/>
                <w:sz w:val="18"/>
                <w:szCs w:val="18"/>
              </w:rPr>
              <w:t xml:space="preserve">1. Bio</w:t>
            </w:r>
          </w:p>
        </w:tc>
        <w:tc>
          <w:tcPr>
            <w:tcW w:type="dxa" w:w="4400"/>
            <w:tcMar>
              <w:top w:type="dxa" w:w="70"/>
              <w:left w:type="dxa" w:w="100"/>
              <w:bottom w:type="dxa" w:w="70"/>
              <w:right w:type="dxa" w:w="100"/>
            </w:tcMar>
          </w:tcPr>
          <w:p>
            <w:r>
              <w:rPr>
                <w:b w:val="false"/>
                <w:bCs w:val="false"/>
                <w:sz w:val="18"/>
                <w:szCs w:val="18"/>
              </w:rPr>
              <w:t xml:space="preserve">3-4 sentences: who I am, what I'm building now, why it's credible</w:t>
            </w:r>
          </w:p>
        </w:tc>
        <w:tc>
          <w:tcPr>
            <w:tcW w:type="dxa" w:w="2260"/>
            <w:tcMar>
              <w:top w:type="dxa" w:w="70"/>
              <w:left w:type="dxa" w:w="100"/>
              <w:bottom w:type="dxa" w:w="70"/>
              <w:right w:type="dxa" w:w="100"/>
            </w:tcMar>
          </w:tcPr>
          <w:p>
            <w:r>
              <w:rPr>
                <w:b/>
                <w:bCs/>
                <w:sz w:val="18"/>
                <w:szCs w:val="18"/>
              </w:rPr>
              <w:t xml:space="preserve">Email me</w:t>
            </w:r>
          </w:p>
        </w:tc>
      </w:tr>
    </w:tbl>
    <w:p>
      <w:pPr>
        <w:pStyle w:val="Heading2"/>
        <w:spacing w:after="80" w:before="180"/>
      </w:pPr>
      <w:r>
        <w:rPr>
          <w:b/>
          <w:bCs/>
          <w:color w:val="1F3A5F"/>
        </w:rP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400"/>
        <w:gridCol w:w="2260"/>
      </w:tblGrid>
      <w:tr>
        <w:trPr>
          <w:tblHeader/>
        </w:trPr>
        <w:tc>
          <w:tcPr>
            <w:tcW w:type="dxa" w:w="2700"/>
            <w:shd w:fill="1F3A5F" w:color="auto" w:val="clear"/>
            <w:tcMar>
              <w:top w:type="dxa" w:w="80"/>
              <w:left w:type="dxa" w:w="100"/>
              <w:bottom w:type="dxa" w:w="80"/>
              <w:right w:type="dxa" w:w="100"/>
            </w:tcMar>
          </w:tcPr>
          <w:p>
            <w:r>
              <w:rPr>
                <w:b/>
                <w:bCs/>
                <w:color w:val="FFFFFF"/>
                <w:sz w:val="18"/>
                <w:szCs w:val="18"/>
              </w:rPr>
              <w:t xml:space="preserve">Section (in order)</w:t>
            </w:r>
          </w:p>
        </w:tc>
        <w:tc>
          <w:tcPr>
            <w:tcW w:type="dxa" w:w="4400"/>
            <w:shd w:fill="1F3A5F" w:color="auto" w:val="clear"/>
            <w:tcMar>
              <w:top w:type="dxa" w:w="80"/>
              <w:left w:type="dxa" w:w="100"/>
              <w:bottom w:type="dxa" w:w="80"/>
              <w:right w:type="dxa" w:w="100"/>
            </w:tcMar>
          </w:tcPr>
          <w:p>
            <w:r>
              <w:rPr>
                <w:b/>
                <w:bCs/>
                <w:color w:val="FFFFFF"/>
                <w:sz w:val="18"/>
                <w:szCs w:val="18"/>
              </w:rPr>
              <w:t xml:space="preserve">Content</w:t>
            </w:r>
          </w:p>
        </w:tc>
        <w:tc>
          <w:tcPr>
            <w:tcW w:type="dxa" w:w="2260"/>
            <w:shd w:fill="1F3A5F" w:color="auto" w:val="clear"/>
            <w:tcMar>
              <w:top w:type="dxa" w:w="80"/>
              <w:left w:type="dxa" w:w="100"/>
              <w:bottom w:type="dxa" w:w="80"/>
              <w:right w:type="dxa" w:w="100"/>
            </w:tcMar>
          </w:tcPr>
          <w:p>
            <w:r>
              <w:rPr>
                <w:b/>
                <w:bCs/>
                <w:color w:val="FFFFFF"/>
                <w:sz w:val="18"/>
                <w:szCs w:val="18"/>
              </w:rPr>
              <w:t xml:space="preserve">Named CTA</w:t>
            </w:r>
          </w:p>
        </w:tc>
      </w:tr>
      <w:tr>
        <w:tc>
          <w:tcPr>
            <w:tcW w:type="dxa" w:w="2700"/>
            <w:tcMar>
              <w:top w:type="dxa" w:w="70"/>
              <w:left w:type="dxa" w:w="100"/>
              <w:bottom w:type="dxa" w:w="70"/>
              <w:right w:type="dxa" w:w="100"/>
            </w:tcMar>
          </w:tcPr>
          <w:p>
            <w:r>
              <w:rPr>
                <w:b w:val="false"/>
                <w:bCs w:val="false"/>
                <w:sz w:val="18"/>
                <w:szCs w:val="18"/>
              </w:rPr>
              <w:t xml:space="preserve">1. Direct ask</w:t>
            </w:r>
          </w:p>
        </w:tc>
        <w:tc>
          <w:tcPr>
            <w:tcW w:type="dxa" w:w="4400"/>
            <w:tcMar>
              <w:top w:type="dxa" w:w="70"/>
              <w:left w:type="dxa" w:w="100"/>
              <w:bottom w:type="dxa" w:w="70"/>
              <w:right w:type="dxa" w:w="100"/>
            </w:tcMar>
          </w:tcPr>
          <w:p>
            <w:r>
              <w:rPr>
                <w:b w:val="false"/>
                <w:bCs w:val="false"/>
                <w:sz w:val="18"/>
                <w:szCs w:val="18"/>
              </w:rPr>
              <w:t xml:space="preserve">Restate the claim once + one email link, no form</w:t>
            </w:r>
          </w:p>
        </w:tc>
        <w:tc>
          <w:tcPr>
            <w:tcW w:type="dxa" w:w="2260"/>
            <w:tcMar>
              <w:top w:type="dxa" w:w="70"/>
              <w:left w:type="dxa" w:w="100"/>
              <w:bottom w:type="dxa" w:w="70"/>
              <w:right w:type="dxa" w:w="100"/>
            </w:tcMar>
          </w:tcPr>
          <w:p>
            <w:r>
              <w:rPr>
                <w:b/>
                <w:bCs/>
                <w:sz w:val="18"/>
                <w:szCs w:val="18"/>
              </w:rPr>
              <w:t xml:space="preserve">Email me (mailto: link)</w:t>
            </w:r>
          </w:p>
        </w:tc>
      </w:tr>
    </w:tbl>
    <w:p>
      <w:pPr>
        <w:pStyle w:val="Heading2"/>
        <w:spacing w:after="80" w:before="180"/>
      </w:pPr>
      <w:r>
        <w:rPr>
          <w:b/>
          <w:bCs/>
          <w:color w:val="1F3A5F"/>
        </w:rPr>
        <w:t xml:space="preserve">Still need to gather (honest list, so build week isn't blocked)</w:t>
      </w:r>
    </w:p>
    <w:p>
      <w:pPr>
        <w:pStyle w:val="ListParagraph"/>
        <w:numPr>
          <w:ilvl w:val="0"/>
          <w:numId w:val="1"/>
        </w:numPr>
        <w:spacing w:after="40"/>
      </w:pPr>
      <w:r>
        <w:rPr>
          <w:sz w:val="20"/>
          <w:szCs w:val="20"/>
        </w:rPr>
        <w:t xml:space="preserve">A second real case study — only one project exists right now (FlyRank ranking model); a second piece is needed before Work fully earns its plural.</w:t>
      </w:r>
    </w:p>
    <w:p>
      <w:pPr>
        <w:pStyle w:val="ListParagraph"/>
        <w:numPr>
          <w:ilvl w:val="0"/>
          <w:numId w:val="1"/>
        </w:numPr>
        <w:spacing w:after="40"/>
      </w:pPr>
      <w:r>
        <w:rPr>
          <w:sz w:val="20"/>
          <w:szCs w:val="20"/>
        </w:rPr>
        <w:t xml:space="preserve">Clean screenshots of the actual notebook run (w01/w02) — none captured yet, needed for the Work page's proof section.</w:t>
      </w:r>
    </w:p>
    <w:p>
      <w:pPr>
        <w:pStyle w:val="ListParagraph"/>
        <w:numPr>
          <w:ilvl w:val="0"/>
          <w:numId w:val="1"/>
        </w:numPr>
        <w:spacing w:after="40"/>
      </w:pPr>
      <w:r>
        <w:rPr>
          <w:sz w:val="20"/>
          <w:szCs w:val="20"/>
        </w:rPr>
        <w:t xml:space="preserve">A real professional headshot or photo for About — not yet taken.</w:t>
      </w:r>
    </w:p>
    <w:p>
      <w:pPr>
        <w:pStyle w:val="ListParagraph"/>
        <w:numPr>
          <w:ilvl w:val="0"/>
          <w:numId w:val="1"/>
        </w:numPr>
        <w:spacing w:after="40"/>
      </w:pPr>
      <w:r>
        <w:rPr>
          <w:sz w:val="20"/>
          <w:szCs w:val="20"/>
        </w:rPr>
        <w:t xml:space="preserve">A live/updated GitHub repo link with the finished capstone — currently mid-build, link exists but content is incomplete.</w:t>
      </w:r>
    </w:p>
    <w:p>
      <w:pPr>
        <w:pStyle w:val="ListParagraph"/>
        <w:numPr>
          <w:ilvl w:val="0"/>
          <w:numId w:val="1"/>
        </w:numPr>
        <w:spacing w:after="40"/>
      </w:pPr>
      <w:r>
        <w:rPr>
          <w:sz w:val="20"/>
          <w:szCs w:val="20"/>
        </w:rPr>
        <w:t xml:space="preserve">A final precision@50 number from my own trained model (not just the starter baseline) once I finish training — needed to replace “in progress” language on Work with a real result.</w:t>
      </w:r>
    </w:p>
    <w:p>
      <w:pPr>
        <w:pStyle w:val="ListParagraph"/>
        <w:numPr>
          <w:ilvl w:val="0"/>
          <w:numId w:val="1"/>
        </w:numPr>
        <w:spacing w:after="40"/>
      </w:pPr>
      <w:r>
        <w:rPr>
          <w:sz w:val="20"/>
          <w:szCs w:val="20"/>
        </w:rPr>
        <w:t xml:space="preserve">A real contact email address to replace the [your email] placeholder used throughout every FL deliverable so far.</w:t>
      </w:r>
    </w:p>
    <w:p>
      <w:pPr>
        <w:pStyle w:val="Heading1"/>
        <w:pBdr>
          <w:bottom w:val="single" w:color="1F3A5F" w:sz="6" w:space="4"/>
        </w:pBdr>
        <w:spacing w:after="100" w:before="280"/>
      </w:pPr>
      <w:r>
        <w:rPr>
          <w:b/>
          <w:bCs/>
          <w:color w:val="1F3A5F"/>
        </w:rPr>
        <w:t xml:space="preserve">3. Identity kit</w:t>
      </w:r>
    </w:p>
    <w:p>
      <w:pPr>
        <w:pStyle w:val="Heading2"/>
        <w:spacing w:after="80" w:before="180"/>
      </w:pPr>
      <w:r>
        <w:rPr>
          <w:b/>
          <w:bCs/>
          <w:color w:val="1F3A5F"/>
        </w:rPr>
        <w:t xml:space="preserve">Type</w:t>
      </w:r>
    </w:p>
    <w:p>
      <w:pPr>
        <w:spacing w:after="160"/>
      </w:pPr>
      <w:r>
        <w:rPr>
          <w:b w:val="false"/>
          <w:bCs w:val="false"/>
          <w:i w:val="false"/>
          <w:iCs w:val="false"/>
          <w:sz w:val="20"/>
          <w:szCs w:val="20"/>
        </w:rPr>
        <w:t xml:space="preserve">One font, two weights — per the brief's own guidance for non-design tracks (“go even calmer”). Inter, free on Google Fonts: weight 700 for headings, weight 400 for body. One font removes an entire category of amateur mistakes (font clash) before it can happen.</w:t>
      </w:r>
    </w:p>
    <w:p>
      <w:pPr>
        <w:pStyle w:val="Heading2"/>
        <w:spacing w:after="80" w:before="180"/>
      </w:pPr>
      <w:r>
        <w:rPr>
          <w:b/>
          <w:bCs/>
          <w:color w:val="1F3A5F"/>
        </w:rPr>
        <w:t xml:space="preserve">Palette</w:t>
      </w:r>
    </w:p>
    <w:p>
      <w:pPr>
        <w:spacing w:after="100"/>
      </w:pPr>
      <w:r>
        <w:rPr>
          <w:b w:val="false"/>
          <w:bCs w:val="false"/>
          <w:i w:val="false"/>
          <w:iCs w:val="false"/>
          <w:sz w:val="20"/>
          <w:szCs w:val="20"/>
        </w:rPr>
        <w:t xml:space="preserve">Reused, on purpose, from the same navy/near-black/near-white/green system already used across every FL deliverable so far (FL-01 audit, FL-04 case study, the prompt logs) — consistency across the whole track, not just within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Mar>
              <w:top w:type="dxa" w:w="0"/>
              <w:left w:type="dxa" w:w="0"/>
              <w:bottom w:type="dxa" w:w="0"/>
              <w:right w:type="dxa" w:w="0"/>
            </w:tcMar>
          </w:tcPr>
          <w:p>
            <w:pPr>
              <w:shd w:fill="1F3A5F" w:color="auto" w:val="clear"/>
              <w:spacing w:after="0"/>
            </w:pPr>
            <w:r>
              <w:rPr>
                <w:sz w:val="2"/>
                <w:szCs w:val="2"/>
              </w:rPr>
              <w:t xml:space="preserve"> </w:t>
            </w:r>
          </w:p>
          <w:p>
            <w:pPr>
              <w:spacing w:after="0" w:before="40"/>
              <w:jc w:val="center"/>
            </w:pPr>
            <w:r>
              <w:rPr>
                <w:b/>
                <w:bCs/>
                <w:sz w:val="16"/>
                <w:szCs w:val="16"/>
              </w:rPr>
              <w:t xml:space="preserve">Main · #1F3A5F</w:t>
            </w:r>
          </w:p>
        </w:tc>
        <w:tc>
          <w:tcPr>
            <w:tcW w:type="dxa" w:w="2340"/>
            <w:tcMar>
              <w:top w:type="dxa" w:w="0"/>
              <w:left w:type="dxa" w:w="0"/>
              <w:bottom w:type="dxa" w:w="0"/>
              <w:right w:type="dxa" w:w="0"/>
            </w:tcMar>
          </w:tcPr>
          <w:p>
            <w:pPr>
              <w:shd w:fill="16181D" w:color="auto" w:val="clear"/>
              <w:spacing w:after="0"/>
            </w:pPr>
            <w:r>
              <w:rPr>
                <w:sz w:val="2"/>
                <w:szCs w:val="2"/>
              </w:rPr>
              <w:t xml:space="preserve"> </w:t>
            </w:r>
          </w:p>
          <w:p>
            <w:pPr>
              <w:spacing w:after="0" w:before="40"/>
              <w:jc w:val="center"/>
            </w:pPr>
            <w:r>
              <w:rPr>
                <w:b/>
                <w:bCs/>
                <w:sz w:val="16"/>
                <w:szCs w:val="16"/>
              </w:rPr>
              <w:t xml:space="preserve">Text · #16181D</w:t>
            </w:r>
          </w:p>
        </w:tc>
        <w:tc>
          <w:tcPr>
            <w:tcW w:type="dxa" w:w="2340"/>
            <w:tcMar>
              <w:top w:type="dxa" w:w="0"/>
              <w:left w:type="dxa" w:w="0"/>
              <w:bottom w:type="dxa" w:w="0"/>
              <w:right w:type="dxa" w:w="0"/>
            </w:tcMar>
          </w:tcPr>
          <w:p>
            <w:pPr>
              <w:shd w:fill="FAFAF8" w:color="auto" w:val="clear"/>
              <w:spacing w:after="0"/>
            </w:pPr>
            <w:r>
              <w:rPr>
                <w:sz w:val="2"/>
                <w:szCs w:val="2"/>
              </w:rPr>
              <w:t xml:space="preserve"> </w:t>
            </w:r>
          </w:p>
          <w:p>
            <w:pPr>
              <w:spacing w:after="0" w:before="40"/>
              <w:jc w:val="center"/>
            </w:pPr>
            <w:r>
              <w:rPr>
                <w:b/>
                <w:bCs/>
                <w:sz w:val="16"/>
                <w:szCs w:val="16"/>
              </w:rPr>
              <w:t xml:space="preserve">Background · #FAFAF8</w:t>
            </w:r>
          </w:p>
        </w:tc>
        <w:tc>
          <w:tcPr>
            <w:tcW w:type="dxa" w:w="2340"/>
            <w:tcMar>
              <w:top w:type="dxa" w:w="0"/>
              <w:left w:type="dxa" w:w="0"/>
              <w:bottom w:type="dxa" w:w="0"/>
              <w:right w:type="dxa" w:w="0"/>
            </w:tcMar>
          </w:tcPr>
          <w:p>
            <w:pPr>
              <w:shd w:fill="2E7D5B" w:color="auto" w:val="clear"/>
              <w:spacing w:after="0"/>
            </w:pPr>
            <w:r>
              <w:rPr>
                <w:sz w:val="2"/>
                <w:szCs w:val="2"/>
              </w:rPr>
              <w:t xml:space="preserve"> </w:t>
            </w:r>
          </w:p>
          <w:p>
            <w:pPr>
              <w:spacing w:after="0" w:before="40"/>
              <w:jc w:val="center"/>
            </w:pPr>
            <w:r>
              <w:rPr>
                <w:b/>
                <w:bCs/>
                <w:sz w:val="16"/>
                <w:szCs w:val="16"/>
              </w:rPr>
              <w:t xml:space="preserve">Accent · #2E7D5B</w:t>
            </w:r>
          </w:p>
        </w:tc>
      </w:tr>
    </w:tbl>
    <w:p>
      <w:pPr>
        <w:spacing w:after="160"/>
      </w:pPr>
      <w:r>
        <w:rPr>
          <w:b w:val="false"/>
          <w:bCs w:val="false"/>
          <w:i w:val="false"/>
          <w:iCs w:val="false"/>
          <w:sz w:val="19"/>
          <w:szCs w:val="19"/>
        </w:rPr>
        <w:t xml:space="preserve">Contrast, checked (WCAG relative-luminance formula, computed directly — not eyeballed): text-on-background 16.99:1, accent-on-background 4.78:1, white-on-navy 11.48:1. WCAG AA requires 4.5:1 for body text — every pairing clears it, including the accent used for links.</w:t>
      </w:r>
    </w:p>
    <w:p>
      <w:pPr>
        <w:pStyle w:val="Heading2"/>
        <w:spacing w:after="80" w:before="180"/>
      </w:pPr>
      <w:r>
        <w:rPr>
          <w:b/>
          <w:bCs/>
          <w:color w:val="1F3A5F"/>
        </w:rPr>
        <w:t xml:space="preserve">Logo / favicon</w:t>
      </w:r>
    </w:p>
    <w:p>
      <w:pPr>
        <w:spacing w:after="100"/>
      </w:pPr>
      <w:r>
        <w:rPr>
          <w:b w:val="false"/>
          <w:bCs w:val="false"/>
          <w:i w:val="false"/>
          <w:iCs w:val="false"/>
          <w:sz w:val="20"/>
          <w:szCs w:val="20"/>
        </w:rPr>
        <w:t xml:space="preserve">A checkmark inside a rounded square — chosen because it's literally what the proof statement is about (verifying before trusting), not decoration for its own sake. Flat, two colors, reads at 16px.</w:t>
      </w:r>
    </w:p>
    <w:p>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pStyle w:val="Heading2"/>
        <w:spacing w:after="80" w:before="180"/>
      </w:pPr>
      <w:r>
        <w:rPr>
          <w:b/>
          <w:bCs/>
          <w:color w:val="1F3A5F"/>
        </w:rPr>
        <w:t xml:space="preserve">Style note</w:t>
      </w:r>
    </w:p>
    <w:p>
      <w:pPr>
        <w:spacing w:after="160"/>
      </w:pPr>
      <w:r>
        <w:rPr>
          <w:b w:val="false"/>
          <w:bCs w:val="false"/>
          <w:i/>
          <w:iCs/>
          <w:sz w:val="20"/>
          <w:szCs w:val="20"/>
        </w:rPr>
        <w:t xml:space="preserve">Inter (700 for headings, 400 for body). Navy #1F3A5F for primary UI and headings, near-black #16181D for body text, near-white #FAFAF8 background, one green accent #2E7D5B for links and verified-result callouts only. Mood: calm, technical, evidence-first — the site should feel like a lab notebook that happens to be well-typeset, not a landing page.</w:t>
      </w:r>
    </w:p>
    <w:p>
      <w:pPr>
        <w:pStyle w:val="Heading1"/>
        <w:pBdr>
          <w:bottom w:val="single" w:color="1F3A5F" w:sz="6" w:space="4"/>
        </w:pBdr>
        <w:spacing w:after="100" w:before="280"/>
      </w:pPr>
      <w:r>
        <w:rPr>
          <w:b/>
          <w:bCs/>
          <w:color w:val="1F3A5F"/>
        </w:rPr>
        <w:t xml:space="preserve">4. Image curation</w:t>
      </w:r>
    </w:p>
    <w:p>
      <w:pPr>
        <w:pStyle w:val="Heading2"/>
        <w:spacing w:after="80" w:before="180"/>
      </w:pPr>
      <w:r>
        <w:rPr>
          <w:b/>
          <w:bCs/>
          <w:color w:val="1F3A5F"/>
        </w:rPr>
        <w:t xml:space="preserve">Images the content map actually needs</w:t>
      </w:r>
    </w:p>
    <w:p>
      <w:pPr>
        <w:pStyle w:val="ListParagraph"/>
        <w:numPr>
          <w:ilvl w:val="0"/>
          <w:numId w:val="1"/>
        </w:numPr>
        <w:spacing w:after="40"/>
      </w:pPr>
      <w:r>
        <w:rPr>
          <w:sz w:val="20"/>
          <w:szCs w:val="20"/>
        </w:rPr>
        <w:t xml:space="preserve">Hero: no photo. Typography + one accent rule on whitespace (see chosen option below).</w:t>
      </w:r>
    </w:p>
    <w:p>
      <w:pPr>
        <w:pStyle w:val="ListParagraph"/>
        <w:numPr>
          <w:ilvl w:val="0"/>
          <w:numId w:val="1"/>
        </w:numPr>
        <w:spacing w:after="40"/>
      </w:pPr>
      <w:r>
        <w:rPr>
          <w:sz w:val="20"/>
          <w:szCs w:val="20"/>
        </w:rPr>
        <w:t xml:space="preserve">Work — case study 1: real screenshot of the executed w01/w02 notebooks and the precision@50 comparison — real capture, not generated, once screenshots are taken (see gather-list).</w:t>
      </w:r>
    </w:p>
    <w:p>
      <w:pPr>
        <w:pStyle w:val="ListParagraph"/>
        <w:numPr>
          <w:ilvl w:val="0"/>
          <w:numId w:val="1"/>
        </w:numPr>
        <w:spacing w:after="40"/>
      </w:pPr>
      <w:r>
        <w:rPr>
          <w:sz w:val="20"/>
          <w:szCs w:val="20"/>
        </w:rPr>
        <w:t xml:space="preserve">About: one real photo of me — not yet taken (see gather-list). No generated headshot; a fake photo of a real person is worse than no photo.</w:t>
      </w:r>
    </w:p>
    <w:p>
      <w:pPr>
        <w:pStyle w:val="ListParagraph"/>
        <w:numPr>
          <w:ilvl w:val="0"/>
          <w:numId w:val="1"/>
        </w:numPr>
        <w:spacing w:after="40"/>
      </w:pPr>
      <w:r>
        <w:rPr>
          <w:sz w:val="20"/>
          <w:szCs w:val="20"/>
        </w:rPr>
        <w:t xml:space="preserve">Contact: no image — a page with one action doesn't need decoration competing with the action.</w:t>
      </w:r>
    </w:p>
    <w:p>
      <w:pPr>
        <w:pStyle w:val="ListParagraph"/>
        <w:numPr>
          <w:ilvl w:val="0"/>
          <w:numId w:val="1"/>
        </w:numPr>
        <w:spacing w:after="40"/>
      </w:pPr>
      <w:r>
        <w:rPr>
          <w:sz w:val="20"/>
          <w:szCs w:val="20"/>
        </w:rPr>
        <w:t xml:space="preserve">Favicon: the checkmark mark above — the only truly “generated” graphic element on the whole site, and it's a simple flat vector, not an AI photo-style image.</w:t>
      </w:r>
    </w:p>
    <w:p>
      <w:pPr>
        <w:pStyle w:val="Heading2"/>
        <w:spacing w:after="80" w:before="180"/>
      </w:pPr>
      <w:r>
        <w:rPr>
          <w:b/>
          <w:bCs/>
          <w:color w:val="1F3A5F"/>
        </w:rPr>
        <w:t xml:space="preserve">Generated option — rejected</w:t>
      </w:r>
    </w:p>
    <w:p>
      <w:pPr>
        <w:spacing w:after="100"/>
      </w:pPr>
      <w:r>
        <w:rPr>
          <w:b w:val="false"/>
          <w:bCs w:val="false"/>
          <w:i w:val="false"/>
          <w:iCs w:val="false"/>
          <w:sz w:val="20"/>
          <w:szCs w:val="20"/>
        </w:rPr>
        <w:t xml:space="preserve">Generated one hero-background option in the classic gradient-orb style to test it against the palette above.</w:t>
      </w:r>
    </w:p>
    <w:p>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38400"/>
                    </a:xfrm>
                    <a:prstGeom prst="rect">
                      <a:avLst/>
                    </a:prstGeom>
                  </pic:spPr>
                </pic:pic>
              </a:graphicData>
            </a:graphic>
          </wp:inline>
        </w:drawing>
      </w:r>
    </w:p>
    <w:p>
      <w:pPr>
        <w:spacing w:after="160"/>
      </w:pPr>
      <w:r>
        <w:rPr>
          <w:b w:val="false"/>
          <w:bCs w:val="false"/>
          <w:i w:val="false"/>
          <w:iCs w:val="false"/>
          <w:sz w:val="19"/>
          <w:szCs w:val="19"/>
        </w:rPr>
        <w:t xml:space="preserve">Rejected. This is textbook AI slop — the melted, glossy-orb look the brief names directly — and it uses none of my actual palette (purple/magenta instead of navy/green), so it would fight the identity kit before a visitor even reads a word. More importantly, a gradient blob proves nothing about my claim; it's decoration standing where evidence should be.</w:t>
      </w:r>
    </w:p>
    <w:p>
      <w:pPr>
        <w:pStyle w:val="Heading2"/>
        <w:spacing w:after="80" w:before="180"/>
      </w:pPr>
      <w:r>
        <w:rPr>
          <w:b/>
          <w:bCs/>
          <w:color w:val="1F3A5F"/>
        </w:rPr>
        <w:t xml:space="preserve">Chosen instead</w:t>
      </w:r>
    </w:p>
    <w:p>
      <w:r>
        <w:drawing>
          <wp:inline distT="0" distB="0" distL="0" distR="0">
            <wp:extent cx="4381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38400"/>
                    </a:xfrm>
                    <a:prstGeom prst="rect">
                      <a:avLst/>
                    </a:prstGeom>
                  </pic:spPr>
                </pic:pic>
              </a:graphicData>
            </a:graphic>
          </wp:inline>
        </w:drawing>
      </w:r>
    </w:p>
    <w:p>
      <w:pPr>
        <w:spacing w:after="100"/>
      </w:pPr>
      <w:r>
        <w:rPr>
          <w:b w:val="false"/>
          <w:bCs w:val="false"/>
          <w:i w:val="false"/>
          <w:iCs w:val="false"/>
          <w:sz w:val="19"/>
          <w:szCs w:val="19"/>
        </w:rPr>
        <w:t xml:space="preserve">A clean claim, set in the actual identity kit's type and color, over whitespace. It's less “impressive” than the gradient in isolation, and that's correct — the portfolio rule this week is that design frames the work, and this version leaves all the room for the case study that follows it to be the loudest thing on the page.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Week 3 · Map It &amp; Give It a Face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e32ce92331728b40232e52b9e5f32be99aad7c.undefined"/><Relationship Id="rId10" Type="http://schemas.openxmlformats.org/officeDocument/2006/relationships/image" Target="media/67b02854f7254c3617bc5e4c33a4d9d67b39c97e.undefined"/><Relationship Id="rId11" Type="http://schemas.openxmlformats.org/officeDocument/2006/relationships/image" Target="media/48472d11f2e84650d10eea7dd809136082764bc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2026-08-24T05:57:27.134Z</dcterms:created>
  <dcterms:modified xsi:type="dcterms:W3CDTF">2026-08-24T05:57:27.147Z</dcterms:modified>
</cp:coreProperties>
</file>

<file path=docProps/custom.xml><?xml version="1.0" encoding="utf-8"?>
<Properties xmlns="http://schemas.openxmlformats.org/officeDocument/2006/custom-properties" xmlns:vt="http://schemas.openxmlformats.org/officeDocument/2006/docPropsVTypes"/>
</file>