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  <Override ContentType="application/vnd.openxmlformats-officedocument.wordprocessingml.header+xml" PartName="/word/header1.xml"/>
  <Override ContentType="application/vnd.openxmlformats-officedocument.wordprocessingml.footer+xml" PartName="/word/footer1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pStyle w:val="Title"/>
      </w:pPr>
      <w:r>
        <w:rPr>
          <w:b/>
          <w:bCs/>
          <w:color w:val="1F3A5F"/>
          <w:sz w:val="36"/>
          <w:szCs w:val="36"/>
        </w:rPr>
        <w:t xml:space="preserve">Identity Kit</w:t>
      </w:r>
    </w:p>
    <w:p>
      <w:pPr>
        <w:spacing w:after="200"/>
      </w:pPr>
      <w:r>
        <w:rPr>
          <w:i/>
          <w:iCs/>
          <w:color w:val="555555"/>
          <w:sz w:val="20"/>
          <w:szCs w:val="20"/>
        </w:rPr>
        <w:t xml:space="preserve">[Your Name] · [Date] · Portfolio build, weeks 3–8</w:t>
      </w:r>
    </w:p>
    <w:p>
      <w:pPr>
        <w:pStyle w:val="Heading1"/>
        <w:pBdr>
          <w:bottom w:val="single" w:color="1F3A5F" w:sz="6" w:space="4"/>
        </w:pBdr>
        <w:spacing w:after="80" w:before="200"/>
      </w:pPr>
      <w:r>
        <w:rPr>
          <w:b/>
          <w:bCs/>
          <w:color w:val="1F3A5F"/>
        </w:rPr>
        <w:t xml:space="preserve">Type</w:t>
      </w:r>
    </w:p>
    <w:p>
      <w:pPr>
        <w:spacing w:after="200"/>
      </w:pPr>
      <w:r>
        <w:rPr>
          <w:b w:val="false"/>
          <w:bCs w:val="false"/>
          <w:i w:val="false"/>
          <w:iCs w:val="false"/>
          <w:sz w:val="20"/>
          <w:szCs w:val="20"/>
        </w:rPr>
        <w:t xml:space="preserve">Inter (free, Google Fonts) — one font, two weights: 700 for headings, 400 for body.</w:t>
      </w:r>
    </w:p>
    <w:p>
      <w:pPr>
        <w:pStyle w:val="Heading1"/>
        <w:pBdr>
          <w:bottom w:val="single" w:color="1F3A5F" w:sz="6" w:space="4"/>
        </w:pBdr>
        <w:spacing w:after="80" w:before="200"/>
      </w:pPr>
      <w:r>
        <w:rPr>
          <w:b/>
          <w:bCs/>
          <w:color w:val="1F3A5F"/>
        </w:rPr>
        <w:t xml:space="preserve">Palette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340"/>
        <w:gridCol w:w="2340"/>
        <w:gridCol w:w="2340"/>
        <w:gridCol w:w="2340"/>
      </w:tblGrid>
      <w:tr>
        <w:tc>
          <w:tcPr>
            <w:tcW w:type="dxa" w:w="2340"/>
            <w:tcMar>
              <w:top w:type="dxa" w:w="0"/>
              <w:left w:type="dxa" w:w="0"/>
              <w:bottom w:type="dxa" w:w="0"/>
              <w:right w:type="dxa" w:w="0"/>
            </w:tcMar>
          </w:tcPr>
          <w:p>
            <w:pPr>
              <w:shd w:fill="1F3A5F" w:color="auto" w:val="clear"/>
              <w:spacing w:after="0"/>
            </w:pPr>
            <w:r>
              <w:rPr>
                <w:sz w:val="2"/>
                <w:szCs w:val="2"/>
              </w:rPr>
              <w:t xml:space="preserve"> </w:t>
            </w:r>
          </w:p>
          <w:p>
            <w:pPr>
              <w:spacing w:after="0" w:before="50"/>
              <w:jc w:val="center"/>
            </w:pPr>
            <w:r>
              <w:rPr>
                <w:b/>
                <w:bCs/>
                <w:sz w:val="17"/>
                <w:szCs w:val="17"/>
              </w:rPr>
              <w:t xml:space="preserve">Main · #1F3A5F</w:t>
            </w:r>
          </w:p>
        </w:tc>
        <w:tc>
          <w:tcPr>
            <w:tcW w:type="dxa" w:w="2340"/>
            <w:tcMar>
              <w:top w:type="dxa" w:w="0"/>
              <w:left w:type="dxa" w:w="0"/>
              <w:bottom w:type="dxa" w:w="0"/>
              <w:right w:type="dxa" w:w="0"/>
            </w:tcMar>
          </w:tcPr>
          <w:p>
            <w:pPr>
              <w:shd w:fill="16181D" w:color="auto" w:val="clear"/>
              <w:spacing w:after="0"/>
            </w:pPr>
            <w:r>
              <w:rPr>
                <w:sz w:val="2"/>
                <w:szCs w:val="2"/>
              </w:rPr>
              <w:t xml:space="preserve"> </w:t>
            </w:r>
          </w:p>
          <w:p>
            <w:pPr>
              <w:spacing w:after="0" w:before="50"/>
              <w:jc w:val="center"/>
            </w:pPr>
            <w:r>
              <w:rPr>
                <w:b/>
                <w:bCs/>
                <w:sz w:val="17"/>
                <w:szCs w:val="17"/>
              </w:rPr>
              <w:t xml:space="preserve">Text · #16181D</w:t>
            </w:r>
          </w:p>
        </w:tc>
        <w:tc>
          <w:tcPr>
            <w:tcW w:type="dxa" w:w="2340"/>
            <w:tcMar>
              <w:top w:type="dxa" w:w="0"/>
              <w:left w:type="dxa" w:w="0"/>
              <w:bottom w:type="dxa" w:w="0"/>
              <w:right w:type="dxa" w:w="0"/>
            </w:tcMar>
          </w:tcPr>
          <w:p>
            <w:pPr>
              <w:shd w:fill="FAFAF8" w:color="auto" w:val="clear"/>
              <w:spacing w:after="0"/>
            </w:pPr>
            <w:r>
              <w:rPr>
                <w:sz w:val="2"/>
                <w:szCs w:val="2"/>
              </w:rPr>
              <w:t xml:space="preserve"> </w:t>
            </w:r>
          </w:p>
          <w:p>
            <w:pPr>
              <w:spacing w:after="0" w:before="50"/>
              <w:jc w:val="center"/>
            </w:pPr>
            <w:r>
              <w:rPr>
                <w:b/>
                <w:bCs/>
                <w:sz w:val="17"/>
                <w:szCs w:val="17"/>
              </w:rPr>
              <w:t xml:space="preserve">Background · #FAFAF8</w:t>
            </w:r>
          </w:p>
        </w:tc>
        <w:tc>
          <w:tcPr>
            <w:tcW w:type="dxa" w:w="2340"/>
            <w:tcMar>
              <w:top w:type="dxa" w:w="0"/>
              <w:left w:type="dxa" w:w="0"/>
              <w:bottom w:type="dxa" w:w="0"/>
              <w:right w:type="dxa" w:w="0"/>
            </w:tcMar>
          </w:tcPr>
          <w:p>
            <w:pPr>
              <w:shd w:fill="2E7D5B" w:color="auto" w:val="clear"/>
              <w:spacing w:after="0"/>
            </w:pPr>
            <w:r>
              <w:rPr>
                <w:sz w:val="2"/>
                <w:szCs w:val="2"/>
              </w:rPr>
              <w:t xml:space="preserve"> </w:t>
            </w:r>
          </w:p>
          <w:p>
            <w:pPr>
              <w:spacing w:after="0" w:before="50"/>
              <w:jc w:val="center"/>
            </w:pPr>
            <w:r>
              <w:rPr>
                <w:b/>
                <w:bCs/>
                <w:sz w:val="17"/>
                <w:szCs w:val="17"/>
              </w:rPr>
              <w:t xml:space="preserve">Accent · #2E7D5B</w:t>
            </w:r>
          </w:p>
        </w:tc>
      </w:tr>
    </w:tbl>
    <w:p>
      <w:pPr>
        <w:spacing w:after="200"/>
      </w:pPr>
      <w:r>
        <w:rPr>
          <w:b w:val="false"/>
          <w:bCs w:val="false"/>
          <w:i w:val="false"/>
          <w:iCs w:val="false"/>
          <w:sz w:val="18"/>
          <w:szCs w:val="18"/>
        </w:rPr>
        <w:t xml:space="preserve">Contrast checked (WCAG relative-luminance formula): text-on-background 16.99:1, accent-on-background 4.78:1, white-on-navy 11.48:1 — all clear the 4.5:1 AA minimum for body and link text.</w:t>
      </w:r>
    </w:p>
    <w:p>
      <w:pPr>
        <w:pStyle w:val="Heading1"/>
        <w:pBdr>
          <w:bottom w:val="single" w:color="1F3A5F" w:sz="6" w:space="4"/>
        </w:pBdr>
        <w:spacing w:after="80" w:before="200"/>
      </w:pPr>
      <w:r>
        <w:rPr>
          <w:b/>
          <w:bCs/>
          <w:color w:val="1F3A5F"/>
        </w:rPr>
        <w:t xml:space="preserve">Logo / favicon</w:t>
      </w:r>
    </w:p>
    <w:p>
      <w:pPr>
        <w:spacing w:after="120"/>
      </w:pPr>
      <w:r>
        <w:rPr>
          <w:b w:val="false"/>
          <w:bCs w:val="false"/>
          <w:i w:val="false"/>
          <w:iCs w:val="false"/>
          <w:sz w:val="20"/>
          <w:szCs w:val="20"/>
        </w:rPr>
        <w:t xml:space="preserve">A checkmark in a rounded square — ties directly to the proof statement (verify before you trust it), not decoration for its own sake.</w:t>
      </w:r>
    </w:p>
    <w:p>
      <w:r>
        <w:drawing>
          <wp:inline distT="0" distB="0" distL="0" distR="0">
            <wp:extent cx="762000" cy="762000"/>
            <wp:effectExtent t="0" r="0" b="0" l="0"/>
            <wp:docPr id="1" name="" descr="" title="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 descr=""/>
                    <pic:cNvPicPr>
                      <a:picLocks noChangeAspect="1" noChangeArrowheads="1"/>
                    </pic:cNvPicPr>
                  </pic:nvPicPr>
                  <pic:blipFill>
                    <a:blip r:embed="rId9" cstate="none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762000" cy="7620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pStyle w:val="Heading1"/>
        <w:pBdr>
          <w:bottom w:val="single" w:color="1F3A5F" w:sz="6" w:space="4"/>
        </w:pBdr>
        <w:spacing w:after="80" w:before="200"/>
      </w:pPr>
      <w:r>
        <w:rPr>
          <w:b/>
          <w:bCs/>
          <w:color w:val="1F3A5F"/>
        </w:rPr>
        <w:t xml:space="preserve">Style note (paste into Claude Project custom instructions)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shd w:fill="1F3A5F" w:color="auto" w:val="clear"/>
            <w:tcMar>
              <w:top w:type="dxa" w:w="160"/>
              <w:left w:type="dxa" w:w="220"/>
              <w:bottom w:type="dxa" w:w="160"/>
              <w:right w:type="dxa" w:w="220"/>
            </w:tcMar>
          </w:tcPr>
          <w:p>
            <w:pPr>
              <w:spacing w:after="60"/>
            </w:pPr>
            <w:r>
              <w:rPr>
                <w:color w:val="FFFFFF"/>
                <w:sz w:val="20"/>
                <w:szCs w:val="20"/>
              </w:rPr>
              <w:t xml:space="preserve">Type: Inter, 700 for headings / 400 for body. Colors: #1F3A5F (main), #16181D (text), #FAFAF8 (background), #2E7D5B (one accent, links + verified-result callouts only).</w:t>
            </w:r>
          </w:p>
          <w:p>
            <w:r>
              <w:rPr>
                <w:i/>
                <w:iCs/>
                <w:color w:val="FFFFFF"/>
                <w:sz w:val="20"/>
                <w:szCs w:val="20"/>
              </w:rPr>
              <w:t xml:space="preserve">Mood: calm, technical, evidence-first — it should read like a well-typeset lab notebook, not a landing page, so the work stays the loudest thing on it.</w:t>
            </w:r>
          </w:p>
        </w:tc>
      </w:tr>
    </w:tbl>
    <w:sectPr>
      <w:headerReference w:type="default" r:id="rId7"/>
      <w:footerReference w:type="default" r:id="rId8"/>
      <w:pgSz w:w="12240" w:h="15840" w:orient="portrait"/>
      <w:pgMar w:top="1080" w:right="1080" w:bottom="1080" w:left="1080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header1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w16cid="http://schemas.microsoft.com/office/word/2016/wordml/cid" xmlns:w16se="http://schemas.microsoft.com/office/word/2015/wordml/symex">
  <w:p>
    <w:pPr>
      <w:jc w:val="right"/>
    </w:pPr>
    <w:r>
      <w:rPr>
        <w:color w:val="808080"/>
        <w:sz w:val="16"/>
        <w:szCs w:val="16"/>
      </w:rPr>
      <w:t xml:space="preserve">Identity Kit · Week 3</w:t>
    </w:r>
  </w:p>
</w:hdr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num w:numId="1">
    <w:abstractNumId w:val="1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/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comments" Target="comments.xml"/><Relationship Id="rId7" Type="http://schemas.openxmlformats.org/officeDocument/2006/relationships/header" Target="header1.xml"/><Relationship Id="rId8" Type="http://schemas.openxmlformats.org/officeDocument/2006/relationships/footer" Target="footer1.xml"/><Relationship Id="rId9" Type="http://schemas.openxmlformats.org/officeDocument/2006/relationships/image" Target="media/33e32ce92331728b40232e52b9e5f32be99aad7c.undefined"/><Relationship Id="rId10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er1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word/_rels/header1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Un-named</cp:lastModifiedBy>
  <cp:revision>1</cp:revision>
  <dcterms:created xsi:type="dcterms:W3CDTF">2026-08-24T06:01:32.125Z</dcterms:created>
  <dcterms:modified xsi:type="dcterms:W3CDTF">2026-08-24T06:01:32.139Z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