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Borders>
          <w:top w:val="none"/>
          <w:left w:val="none"/>
          <w:bottom w:val="none"/>
          <w:right w:val="none"/>
          <w:insideH w:val="none"/>
          <w:insideV w:val="none"/>
        </w:tblBorders>
      </w:tblPr>
      <w:tblGrid>
        <w:gridCol w:w="5256"/>
        <w:gridCol w:w="5256"/>
      </w:tblGrid>
      <w:tr>
        <w:tc>
          <w:tcPr>
            <w:tcW w:type="dxa" w:w="5256"/>
          </w:tcPr>
          <w:p>
            <w:r>
              <w:rPr>
                <w:b/>
                <w:i w:val="0"/>
                <w:color w:val="1F3864"/>
                <w:sz w:val="24"/>
              </w:rPr>
              <w:t>EQUITY RESEARCH</w:t>
            </w:r>
          </w:p>
        </w:tc>
        <w:tc>
          <w:tcPr>
            <w:tcW w:type="dxa" w:w="5256"/>
          </w:tcPr>
          <w:p>
            <w:pPr>
              <w:jc w:val="right"/>
            </w:pPr>
            <w:r>
              <w:rPr>
                <w:b w:val="0"/>
                <w:i w:val="0"/>
                <w:color w:val="595959"/>
                <w:sz w:val="18"/>
              </w:rPr>
              <w:t>Philippines · Utilities</w:t>
              <w:br/>
              <w:t>2024-11-14</w:t>
            </w:r>
          </w:p>
        </w:tc>
      </w:tr>
    </w:tbl>
    <w:p>
      <w:pPr>
        <w:spacing w:before="80" w:after="0"/>
      </w:pPr>
      <w:r>
        <w:rPr>
          <w:b/>
          <w:i w:val="0"/>
          <w:color w:val="1F3864"/>
          <w:sz w:val="36"/>
        </w:rPr>
        <w:t>Manila Water Company, Inc.</w:t>
      </w:r>
    </w:p>
    <w:p>
      <w:pPr>
        <w:spacing w:before="40" w:after="120"/>
      </w:pPr>
      <w:r>
        <w:rPr>
          <w:b w:val="0"/>
          <w:i w:val="0"/>
          <w:color w:val="595959"/>
          <w:sz w:val="19"/>
        </w:rPr>
        <w:t>PSE: MWC   ·   Bloomberg: MWC PM   ·   Regulated water utility</w:t>
      </w:r>
    </w:p>
    <w:tbl>
      <w:tblPr>
        <w:tblW w:type="auto" w:w="0"/>
        <w:tblLook w:firstColumn="1" w:firstRow="1" w:lastColumn="0" w:lastRow="0" w:noHBand="0" w:noVBand="1" w:val="04A0"/>
      </w:tblPr>
      <w:tblGrid>
        <w:gridCol w:w="6624"/>
        <w:gridCol w:w="3168"/>
      </w:tblGrid>
      <w:tr>
        <w:tc>
          <w:tcPr>
            <w:tcW w:type="dxa" w:w="5256"/>
          </w:tcPr>
          <w:p>
            <w:r>
              <w:rPr>
                <w:b/>
                <w:i w:val="0"/>
                <w:color w:val="1E7A34"/>
                <w:sz w:val="40"/>
              </w:rPr>
              <w:t>BUY</w:t>
            </w:r>
            <w:r>
              <w:rPr>
                <w:b/>
                <w:i w:val="0"/>
                <w:sz w:val="26"/>
              </w:rPr>
              <w:t xml:space="preserve">   Target ₱27.35</w:t>
            </w:r>
            <w:r>
              <w:rPr>
                <w:b/>
                <w:i w:val="0"/>
                <w:color w:val="1E7A34"/>
                <w:sz w:val="24"/>
              </w:rPr>
              <w:t xml:space="preserve">   (+22%)</w:t>
            </w:r>
          </w:p>
          <w:p>
            <w:pPr>
              <w:spacing w:after="120"/>
            </w:pPr>
            <w:r>
              <w:rPr>
                <w:b/>
                <w:i w:val="0"/>
                <w:color w:val="1F3864"/>
                <w:sz w:val="21"/>
              </w:rPr>
              <w:t>Investment thesis</w:t>
            </w:r>
          </w:p>
          <w:p>
            <w:pPr>
              <w:pStyle w:val="ListBullet"/>
              <w:spacing w:after="60"/>
            </w:pPr>
            <w:r>
              <w:rPr>
                <w:b/>
                <w:i w:val="0"/>
                <w:sz w:val="19"/>
              </w:rPr>
              <w:t xml:space="preserve">Robust earnings momentum — </w:t>
            </w:r>
            <w:r>
              <w:rPr>
                <w:b w:val="0"/>
                <w:i w:val="0"/>
                <w:sz w:val="19"/>
              </w:rPr>
              <w:t>9M-2024 net income to parent rose to ₱10.10bn from ₱7.26bn, a ~39% increase, driven by a 20% Parent Company average tariff hike and steady billed-volume growth.</w:t>
            </w:r>
          </w:p>
          <w:p>
            <w:pPr>
              <w:pStyle w:val="ListBullet"/>
              <w:spacing w:after="60"/>
            </w:pPr>
            <w:r>
              <w:rPr>
                <w:b/>
                <w:i w:val="0"/>
                <w:sz w:val="19"/>
              </w:rPr>
              <w:t xml:space="preserve">Diversified revenue base — </w:t>
            </w:r>
            <w:r>
              <w:rPr>
                <w:b w:val="0"/>
                <w:i w:val="0"/>
                <w:sz w:val="19"/>
              </w:rPr>
              <w:t>Non-East Zone revenues grew 23% on 6% billed-volume growth and 20% tariff increases across several business units, complementing the core Metro Manila East Zone concession.</w:t>
            </w:r>
          </w:p>
          <w:p>
            <w:pPr>
              <w:pStyle w:val="ListBullet"/>
              <w:spacing w:after="60"/>
            </w:pPr>
            <w:r>
              <w:rPr>
                <w:b/>
                <w:i w:val="0"/>
                <w:sz w:val="19"/>
              </w:rPr>
              <w:t xml:space="preserve">Attractive valuation — </w:t>
            </w:r>
            <w:r>
              <w:rPr>
                <w:b w:val="0"/>
                <w:i w:val="0"/>
                <w:sz w:val="19"/>
              </w:rPr>
              <w:t>Our DCF (WACC 8.4%, terminal growth 2.5%) yields a fair value of ₱27.35 against a price of ₱22.36, implying ~22% upside and an enterprise value of ₱167.9bn.</w:t>
            </w:r>
          </w:p>
          <w:p>
            <w:pPr>
              <w:pStyle w:val="ListBullet"/>
              <w:spacing w:after="60"/>
            </w:pPr>
            <w:r>
              <w:rPr>
                <w:b/>
                <w:i w:val="0"/>
                <w:sz w:val="19"/>
              </w:rPr>
              <w:t xml:space="preserve">Scheduled tariff visibility — </w:t>
            </w:r>
            <w:r>
              <w:rPr>
                <w:b w:val="0"/>
                <w:i w:val="0"/>
                <w:sz w:val="19"/>
              </w:rPr>
              <w:t>Contracted adjustments from 2023 to 2027, an indicative 2028 Wawa Bulk Water adjustment, and a rising environmental charge underpin a predictable revenue trajectory.</w:t>
            </w:r>
          </w:p>
          <w:p>
            <w:pPr>
              <w:pStyle w:val="ListBullet"/>
              <w:spacing w:after="60"/>
            </w:pPr>
            <w:r>
              <w:rPr>
                <w:b/>
                <w:i w:val="0"/>
                <w:sz w:val="19"/>
              </w:rPr>
              <w:t xml:space="preserve">Ownership transition — </w:t>
            </w:r>
            <w:r>
              <w:rPr>
                <w:b w:val="0"/>
                <w:i w:val="0"/>
                <w:sz w:val="19"/>
              </w:rPr>
              <w:t>Enrique Razon's Trident Water acquired the Ayala group's entire stake in 2024 and now holds majority control, with Ayala no longer a related party.</w:t>
            </w:r>
          </w:p>
          <w:p>
            <w:pPr>
              <w:pStyle w:val="ListBullet"/>
              <w:spacing w:after="60"/>
            </w:pPr>
            <w:r>
              <w:rPr>
                <w:b/>
                <w:i w:val="0"/>
                <w:sz w:val="19"/>
              </w:rPr>
              <w:t xml:space="preserve">Concession extension catalyst — </w:t>
            </w:r>
            <w:r>
              <w:rPr>
                <w:b w:val="0"/>
                <w:i w:val="0"/>
                <w:sz w:val="19"/>
              </w:rPr>
              <w:t>The pending application to extend the Revised Concession Agreement term to 2047, aligning with the franchise, would lengthen the asset-life horizon supporting valuation.</w:t>
            </w:r>
          </w:p>
        </w:tc>
        <w:tc>
          <w:tcPr>
            <w:tcW w:type="dxa" w:w="5256"/>
            <w:shd w:val="clear" w:fill="EEF1F8"/>
          </w:tcPr>
          <w:p>
            <w:r>
              <w:rPr>
                <w:b/>
                <w:i w:val="0"/>
                <w:color w:val="1F3864"/>
                <w:sz w:val="20"/>
              </w:rPr>
              <w:t>Company data</w:t>
            </w:r>
          </w:p>
          <w:p>
            <w:pPr>
              <w:spacing w:after="20"/>
            </w:pPr>
            <w:r>
              <w:rPr>
                <w:b w:val="0"/>
                <w:i w:val="0"/>
                <w:color w:val="595959"/>
                <w:sz w:val="18"/>
              </w:rPr>
              <w:t xml:space="preserve">Price (₱): </w:t>
            </w:r>
            <w:r>
              <w:rPr>
                <w:b/>
                <w:i w:val="0"/>
                <w:sz w:val="18"/>
              </w:rPr>
              <w:t>22.36</w:t>
            </w:r>
          </w:p>
          <w:p>
            <w:pPr>
              <w:spacing w:after="20"/>
            </w:pPr>
            <w:r>
              <w:rPr>
                <w:b w:val="0"/>
                <w:i w:val="0"/>
                <w:color w:val="595959"/>
                <w:sz w:val="18"/>
              </w:rPr>
              <w:t xml:space="preserve">Fair value (₱): </w:t>
            </w:r>
            <w:r>
              <w:rPr>
                <w:b/>
                <w:i w:val="0"/>
                <w:sz w:val="18"/>
              </w:rPr>
              <w:t>27.35</w:t>
            </w:r>
          </w:p>
          <w:p>
            <w:pPr>
              <w:spacing w:after="20"/>
            </w:pPr>
            <w:r>
              <w:rPr>
                <w:b w:val="0"/>
                <w:i w:val="0"/>
                <w:color w:val="595959"/>
                <w:sz w:val="18"/>
              </w:rPr>
              <w:t xml:space="preserve">Upside: </w:t>
            </w:r>
            <w:r>
              <w:rPr>
                <w:b/>
                <w:i w:val="0"/>
                <w:sz w:val="18"/>
              </w:rPr>
              <w:t>+22%</w:t>
            </w:r>
          </w:p>
          <w:p>
            <w:pPr>
              <w:spacing w:after="20"/>
            </w:pPr>
            <w:r>
              <w:rPr>
                <w:b w:val="0"/>
                <w:i w:val="0"/>
                <w:color w:val="595959"/>
                <w:sz w:val="18"/>
              </w:rPr>
              <w:t xml:space="preserve">Market cap (₱bn): </w:t>
            </w:r>
            <w:r>
              <w:rPr>
                <w:b/>
                <w:i w:val="0"/>
                <w:sz w:val="18"/>
              </w:rPr>
              <w:t>58.1</w:t>
            </w:r>
          </w:p>
          <w:p>
            <w:pPr>
              <w:spacing w:after="20"/>
            </w:pPr>
            <w:r>
              <w:rPr>
                <w:b w:val="0"/>
                <w:i w:val="0"/>
                <w:color w:val="595959"/>
                <w:sz w:val="18"/>
              </w:rPr>
              <w:t xml:space="preserve">52-wk range (₱): </w:t>
            </w:r>
            <w:r>
              <w:rPr>
                <w:b/>
                <w:i w:val="0"/>
                <w:sz w:val="18"/>
              </w:rPr>
              <w:t>16.5–27.0</w:t>
            </w:r>
          </w:p>
          <w:p>
            <w:pPr>
              <w:spacing w:after="20"/>
            </w:pPr>
            <w:r>
              <w:rPr>
                <w:b w:val="0"/>
                <w:i w:val="0"/>
                <w:color w:val="595959"/>
                <w:sz w:val="18"/>
              </w:rPr>
              <w:t xml:space="preserve">Shares (m): </w:t>
            </w:r>
            <w:r>
              <w:rPr>
                <w:b/>
                <w:i w:val="0"/>
                <w:sz w:val="18"/>
              </w:rPr>
              <w:t>2,597</w:t>
            </w:r>
          </w:p>
          <w:p>
            <w:pPr>
              <w:spacing w:after="20"/>
            </w:pPr>
            <w:r>
              <w:rPr>
                <w:b w:val="0"/>
                <w:i w:val="0"/>
                <w:color w:val="595959"/>
                <w:sz w:val="18"/>
              </w:rPr>
              <w:t xml:space="preserve">Beta: </w:t>
            </w:r>
            <w:r>
              <w:rPr>
                <w:b/>
                <w:i w:val="0"/>
                <w:sz w:val="18"/>
              </w:rPr>
              <w:t>0.46</w:t>
            </w:r>
          </w:p>
          <w:p>
            <w:pPr>
              <w:spacing w:after="20"/>
            </w:pPr>
            <w:r>
              <w:rPr>
                <w:b w:val="0"/>
                <w:i w:val="0"/>
                <w:color w:val="595959"/>
                <w:sz w:val="18"/>
              </w:rPr>
              <w:t xml:space="preserve">WACC: </w:t>
            </w:r>
            <w:r>
              <w:rPr>
                <w:b/>
                <w:i w:val="0"/>
                <w:sz w:val="18"/>
              </w:rPr>
              <w:t>8.4%</w:t>
            </w:r>
          </w:p>
        </w:tc>
      </w:tr>
    </w:tbl>
    <w:p>
      <w:pPr>
        <w:spacing w:before="40" w:after="40"/>
      </w:pPr>
    </w:p>
    <w:tbl>
      <w:tblPr>
        <w:tblStyle w:val="TableGrid"/>
        <w:tblW w:type="auto" w:w="0"/>
        <w:tblLayout w:type="fixed"/>
        <w:tblLook w:firstColumn="1" w:firstRow="1" w:lastColumn="0" w:lastRow="0" w:noHBand="0" w:noVBand="1" w:val="04A0"/>
      </w:tblPr>
      <w:tblGrid>
        <w:gridCol w:w="2102"/>
        <w:gridCol w:w="2102"/>
        <w:gridCol w:w="2102"/>
        <w:gridCol w:w="2102"/>
        <w:gridCol w:w="2102"/>
      </w:tblGrid>
      <w:tr>
        <w:tc>
          <w:tcPr>
            <w:tcW w:type="dxa" w:w="3312"/>
            <w:shd w:val="clear" w:fill="1F3864"/>
          </w:tcPr>
          <w:p>
            <w:r>
              <w:rPr>
                <w:b/>
                <w:i w:val="0"/>
                <w:color w:val="FFFFFF"/>
                <w:sz w:val="18"/>
              </w:rPr>
              <w:t>₱m unless stated</w:t>
            </w:r>
          </w:p>
        </w:tc>
        <w:tc>
          <w:tcPr>
            <w:tcW w:type="dxa" w:w="1764"/>
            <w:shd w:val="clear" w:fill="1F3864"/>
          </w:tcPr>
          <w:p>
            <w:pPr>
              <w:jc w:val="right"/>
            </w:pPr>
            <w:r>
              <w:rPr>
                <w:b/>
                <w:i w:val="0"/>
                <w:color w:val="FFFFFF"/>
                <w:sz w:val="18"/>
              </w:rPr>
              <w:t>2024E</w:t>
            </w:r>
          </w:p>
        </w:tc>
        <w:tc>
          <w:tcPr>
            <w:tcW w:type="dxa" w:w="1764"/>
            <w:shd w:val="clear" w:fill="1F3864"/>
          </w:tcPr>
          <w:p>
            <w:pPr>
              <w:jc w:val="right"/>
            </w:pPr>
            <w:r>
              <w:rPr>
                <w:b/>
                <w:i w:val="0"/>
                <w:color w:val="FFFFFF"/>
                <w:sz w:val="18"/>
              </w:rPr>
              <w:t>2025E</w:t>
            </w:r>
          </w:p>
        </w:tc>
        <w:tc>
          <w:tcPr>
            <w:tcW w:type="dxa" w:w="1764"/>
            <w:shd w:val="clear" w:fill="1F3864"/>
          </w:tcPr>
          <w:p>
            <w:pPr>
              <w:jc w:val="right"/>
            </w:pPr>
            <w:r>
              <w:rPr>
                <w:b/>
                <w:i w:val="0"/>
                <w:color w:val="FFFFFF"/>
                <w:sz w:val="18"/>
              </w:rPr>
              <w:t>2026E</w:t>
            </w:r>
          </w:p>
        </w:tc>
        <w:tc>
          <w:tcPr>
            <w:tcW w:type="dxa" w:w="1764"/>
            <w:shd w:val="clear" w:fill="1F3864"/>
          </w:tcPr>
          <w:p>
            <w:pPr>
              <w:jc w:val="right"/>
            </w:pPr>
            <w:r>
              <w:rPr>
                <w:b/>
                <w:i w:val="0"/>
                <w:color w:val="FFFFFF"/>
                <w:sz w:val="18"/>
              </w:rPr>
              <w:t>2027E</w:t>
            </w:r>
          </w:p>
        </w:tc>
      </w:tr>
      <w:tr>
        <w:tc>
          <w:tcPr>
            <w:tcW w:type="dxa" w:w="3312"/>
          </w:tcPr>
          <w:p>
            <w:r>
              <w:rPr>
                <w:b w:val="0"/>
                <w:i w:val="0"/>
                <w:sz w:val="18"/>
              </w:rPr>
              <w:t>Revenue</w:t>
            </w:r>
          </w:p>
        </w:tc>
        <w:tc>
          <w:tcPr>
            <w:tcW w:type="dxa" w:w="1764"/>
          </w:tcPr>
          <w:p>
            <w:pPr>
              <w:jc w:val="right"/>
            </w:pPr>
            <w:r>
              <w:rPr>
                <w:b w:val="0"/>
                <w:i w:val="0"/>
                <w:sz w:val="18"/>
              </w:rPr>
              <w:t>36,729</w:t>
            </w:r>
          </w:p>
        </w:tc>
        <w:tc>
          <w:tcPr>
            <w:tcW w:type="dxa" w:w="1764"/>
          </w:tcPr>
          <w:p>
            <w:pPr>
              <w:jc w:val="right"/>
            </w:pPr>
            <w:r>
              <w:rPr>
                <w:b w:val="0"/>
                <w:i w:val="0"/>
                <w:sz w:val="18"/>
              </w:rPr>
              <w:t>40,402</w:t>
            </w:r>
          </w:p>
        </w:tc>
        <w:tc>
          <w:tcPr>
            <w:tcW w:type="dxa" w:w="1764"/>
          </w:tcPr>
          <w:p>
            <w:pPr>
              <w:jc w:val="right"/>
            </w:pPr>
            <w:r>
              <w:rPr>
                <w:b w:val="0"/>
                <w:i w:val="0"/>
                <w:sz w:val="18"/>
              </w:rPr>
              <w:t>43,635</w:t>
            </w:r>
          </w:p>
        </w:tc>
        <w:tc>
          <w:tcPr>
            <w:tcW w:type="dxa" w:w="1764"/>
          </w:tcPr>
          <w:p>
            <w:pPr>
              <w:jc w:val="right"/>
            </w:pPr>
            <w:r>
              <w:rPr>
                <w:b w:val="0"/>
                <w:i w:val="0"/>
                <w:sz w:val="18"/>
              </w:rPr>
              <w:t>46,689</w:t>
            </w:r>
          </w:p>
        </w:tc>
      </w:tr>
      <w:tr>
        <w:tc>
          <w:tcPr>
            <w:tcW w:type="dxa" w:w="3312"/>
          </w:tcPr>
          <w:p>
            <w:r>
              <w:rPr>
                <w:b w:val="0"/>
                <w:i w:val="0"/>
                <w:sz w:val="18"/>
              </w:rPr>
              <w:t>Net income (parent)</w:t>
            </w:r>
          </w:p>
        </w:tc>
        <w:tc>
          <w:tcPr>
            <w:tcW w:type="dxa" w:w="1764"/>
          </w:tcPr>
          <w:p>
            <w:pPr>
              <w:jc w:val="right"/>
            </w:pPr>
            <w:r>
              <w:rPr>
                <w:b w:val="0"/>
                <w:i w:val="0"/>
                <w:sz w:val="18"/>
              </w:rPr>
              <w:t>13,470</w:t>
            </w:r>
          </w:p>
        </w:tc>
        <w:tc>
          <w:tcPr>
            <w:tcW w:type="dxa" w:w="1764"/>
          </w:tcPr>
          <w:p>
            <w:pPr>
              <w:jc w:val="right"/>
            </w:pPr>
            <w:r>
              <w:rPr>
                <w:b w:val="0"/>
                <w:i w:val="0"/>
                <w:sz w:val="18"/>
              </w:rPr>
              <w:t>14,817</w:t>
            </w:r>
          </w:p>
        </w:tc>
        <w:tc>
          <w:tcPr>
            <w:tcW w:type="dxa" w:w="1764"/>
          </w:tcPr>
          <w:p>
            <w:pPr>
              <w:jc w:val="right"/>
            </w:pPr>
            <w:r>
              <w:rPr>
                <w:b w:val="0"/>
                <w:i w:val="0"/>
                <w:sz w:val="18"/>
              </w:rPr>
              <w:t>16,003</w:t>
            </w:r>
          </w:p>
        </w:tc>
        <w:tc>
          <w:tcPr>
            <w:tcW w:type="dxa" w:w="1764"/>
          </w:tcPr>
          <w:p>
            <w:pPr>
              <w:jc w:val="right"/>
            </w:pPr>
            <w:r>
              <w:rPr>
                <w:b w:val="0"/>
                <w:i w:val="0"/>
                <w:sz w:val="18"/>
              </w:rPr>
              <w:t>17,123</w:t>
            </w:r>
          </w:p>
        </w:tc>
      </w:tr>
      <w:tr>
        <w:tc>
          <w:tcPr>
            <w:tcW w:type="dxa" w:w="3312"/>
          </w:tcPr>
          <w:p>
            <w:r>
              <w:rPr>
                <w:b w:val="0"/>
                <w:i w:val="0"/>
                <w:sz w:val="18"/>
              </w:rPr>
              <w:t>EPS (₱)</w:t>
            </w:r>
          </w:p>
        </w:tc>
        <w:tc>
          <w:tcPr>
            <w:tcW w:type="dxa" w:w="1764"/>
          </w:tcPr>
          <w:p>
            <w:pPr>
              <w:jc w:val="right"/>
            </w:pPr>
            <w:r>
              <w:rPr>
                <w:b w:val="0"/>
                <w:i w:val="0"/>
                <w:sz w:val="18"/>
              </w:rPr>
              <w:t>5.19</w:t>
            </w:r>
          </w:p>
        </w:tc>
        <w:tc>
          <w:tcPr>
            <w:tcW w:type="dxa" w:w="1764"/>
          </w:tcPr>
          <w:p>
            <w:pPr>
              <w:jc w:val="right"/>
            </w:pPr>
            <w:r>
              <w:rPr>
                <w:b w:val="0"/>
                <w:i w:val="0"/>
                <w:sz w:val="18"/>
              </w:rPr>
              <w:t>5.71</w:t>
            </w:r>
          </w:p>
        </w:tc>
        <w:tc>
          <w:tcPr>
            <w:tcW w:type="dxa" w:w="1764"/>
          </w:tcPr>
          <w:p>
            <w:pPr>
              <w:jc w:val="right"/>
            </w:pPr>
            <w:r>
              <w:rPr>
                <w:b w:val="0"/>
                <w:i w:val="0"/>
                <w:sz w:val="18"/>
              </w:rPr>
              <w:t>6.16</w:t>
            </w:r>
          </w:p>
        </w:tc>
        <w:tc>
          <w:tcPr>
            <w:tcW w:type="dxa" w:w="1764"/>
          </w:tcPr>
          <w:p>
            <w:pPr>
              <w:jc w:val="right"/>
            </w:pPr>
            <w:r>
              <w:rPr>
                <w:b w:val="0"/>
                <w:i w:val="0"/>
                <w:sz w:val="18"/>
              </w:rPr>
              <w:t>6.59</w:t>
            </w:r>
          </w:p>
        </w:tc>
      </w:tr>
      <w:tr>
        <w:tc>
          <w:tcPr>
            <w:tcW w:type="dxa" w:w="3312"/>
          </w:tcPr>
          <w:p>
            <w:r>
              <w:rPr>
                <w:b w:val="0"/>
                <w:i w:val="0"/>
                <w:sz w:val="18"/>
              </w:rPr>
              <w:t>EPS growth</w:t>
            </w:r>
          </w:p>
        </w:tc>
        <w:tc>
          <w:tcPr>
            <w:tcW w:type="dxa" w:w="1764"/>
          </w:tcPr>
          <w:p>
            <w:pPr>
              <w:jc w:val="right"/>
            </w:pPr>
            <w:r>
              <w:rPr>
                <w:b w:val="0"/>
                <w:i w:val="0"/>
                <w:sz w:val="18"/>
              </w:rPr>
              <w:t>—</w:t>
            </w:r>
          </w:p>
        </w:tc>
        <w:tc>
          <w:tcPr>
            <w:tcW w:type="dxa" w:w="1764"/>
          </w:tcPr>
          <w:p>
            <w:pPr>
              <w:jc w:val="right"/>
            </w:pPr>
            <w:r>
              <w:rPr>
                <w:b w:val="0"/>
                <w:i w:val="0"/>
                <w:sz w:val="18"/>
              </w:rPr>
              <w:t>+10%</w:t>
            </w:r>
          </w:p>
        </w:tc>
        <w:tc>
          <w:tcPr>
            <w:tcW w:type="dxa" w:w="1764"/>
          </w:tcPr>
          <w:p>
            <w:pPr>
              <w:jc w:val="right"/>
            </w:pPr>
            <w:r>
              <w:rPr>
                <w:b w:val="0"/>
                <w:i w:val="0"/>
                <w:sz w:val="18"/>
              </w:rPr>
              <w:t>+8%</w:t>
            </w:r>
          </w:p>
        </w:tc>
        <w:tc>
          <w:tcPr>
            <w:tcW w:type="dxa" w:w="1764"/>
          </w:tcPr>
          <w:p>
            <w:pPr>
              <w:jc w:val="right"/>
            </w:pPr>
            <w:r>
              <w:rPr>
                <w:b w:val="0"/>
                <w:i w:val="0"/>
                <w:sz w:val="18"/>
              </w:rPr>
              <w:t>+7%</w:t>
            </w:r>
          </w:p>
        </w:tc>
      </w:tr>
    </w:tbl>
    <w:p>
      <w:r>
        <w:br w:type="page"/>
      </w:r>
    </w:p>
    <w:p>
      <w:pPr>
        <w:spacing w:before="200" w:after="80"/>
        <w:pBdr>
          <w:bottom w:val="single" w:sz="6" w:space="2" w:color="1F3864"/>
        </w:pBdr>
      </w:pPr>
      <w:r>
        <w:rPr>
          <w:b/>
          <w:i w:val="0"/>
          <w:color w:val="1F3864"/>
          <w:sz w:val="24"/>
        </w:rPr>
        <w:t>Key highlights</w:t>
      </w:r>
    </w:p>
    <w:p>
      <w:pPr>
        <w:spacing w:before="120" w:after="60"/>
      </w:pPr>
      <w:r>
        <w:rPr>
          <w:b/>
          <w:i w:val="0"/>
          <w:color w:val="1F3864"/>
          <w:sz w:val="21"/>
        </w:rPr>
        <w:t>Interim results (₱m)</w:t>
      </w:r>
    </w:p>
    <w:tbl>
      <w:tblPr>
        <w:tblStyle w:val="TableGrid"/>
        <w:tblW w:type="auto" w:w="0"/>
        <w:tblLayout w:type="fixed"/>
        <w:tblLook w:firstColumn="1" w:firstRow="1" w:lastColumn="0" w:lastRow="0" w:noHBand="0" w:noVBand="1" w:val="04A0"/>
      </w:tblPr>
      <w:tblGrid>
        <w:gridCol w:w="2102"/>
        <w:gridCol w:w="2102"/>
        <w:gridCol w:w="2102"/>
        <w:gridCol w:w="2102"/>
        <w:gridCol w:w="2102"/>
      </w:tblGrid>
      <w:tr>
        <w:tc>
          <w:tcPr>
            <w:tcW w:type="dxa" w:w="3312"/>
            <w:shd w:val="clear" w:fill="1F3864"/>
          </w:tcPr>
          <w:p>
            <w:r>
              <w:rPr>
                <w:b/>
                <w:i w:val="0"/>
                <w:color w:val="FFFFFF"/>
                <w:sz w:val="18"/>
              </w:rPr>
            </w:r>
          </w:p>
        </w:tc>
        <w:tc>
          <w:tcPr>
            <w:tcW w:type="dxa" w:w="1764"/>
            <w:shd w:val="clear" w:fill="1F3864"/>
          </w:tcPr>
          <w:p>
            <w:pPr>
              <w:jc w:val="right"/>
            </w:pPr>
            <w:r>
              <w:rPr>
                <w:b/>
                <w:i w:val="0"/>
                <w:color w:val="FFFFFF"/>
                <w:sz w:val="18"/>
              </w:rPr>
              <w:t>Q3'24</w:t>
            </w:r>
          </w:p>
        </w:tc>
        <w:tc>
          <w:tcPr>
            <w:tcW w:type="dxa" w:w="1764"/>
            <w:shd w:val="clear" w:fill="1F3864"/>
          </w:tcPr>
          <w:p>
            <w:pPr>
              <w:jc w:val="right"/>
            </w:pPr>
            <w:r>
              <w:rPr>
                <w:b/>
                <w:i w:val="0"/>
                <w:color w:val="FFFFFF"/>
                <w:sz w:val="18"/>
              </w:rPr>
              <w:t>Q3'23</w:t>
            </w:r>
          </w:p>
        </w:tc>
        <w:tc>
          <w:tcPr>
            <w:tcW w:type="dxa" w:w="1764"/>
            <w:shd w:val="clear" w:fill="1F3864"/>
          </w:tcPr>
          <w:p>
            <w:pPr>
              <w:jc w:val="right"/>
            </w:pPr>
            <w:r>
              <w:rPr>
                <w:b/>
                <w:i w:val="0"/>
                <w:color w:val="FFFFFF"/>
                <w:sz w:val="18"/>
              </w:rPr>
              <w:t>9M'24</w:t>
            </w:r>
          </w:p>
        </w:tc>
        <w:tc>
          <w:tcPr>
            <w:tcW w:type="dxa" w:w="1764"/>
            <w:shd w:val="clear" w:fill="1F3864"/>
          </w:tcPr>
          <w:p>
            <w:pPr>
              <w:jc w:val="right"/>
            </w:pPr>
            <w:r>
              <w:rPr>
                <w:b/>
                <w:i w:val="0"/>
                <w:color w:val="FFFFFF"/>
                <w:sz w:val="18"/>
              </w:rPr>
              <w:t>9M'23</w:t>
            </w:r>
          </w:p>
        </w:tc>
      </w:tr>
      <w:tr>
        <w:tc>
          <w:tcPr>
            <w:tcW w:type="dxa" w:w="3312"/>
          </w:tcPr>
          <w:p>
            <w:r>
              <w:rPr>
                <w:b w:val="0"/>
                <w:i w:val="0"/>
                <w:sz w:val="18"/>
              </w:rPr>
              <w:t>Revenue</w:t>
            </w:r>
          </w:p>
        </w:tc>
        <w:tc>
          <w:tcPr>
            <w:tcW w:type="dxa" w:w="1764"/>
          </w:tcPr>
          <w:p>
            <w:pPr>
              <w:jc w:val="right"/>
            </w:pPr>
            <w:r>
              <w:rPr>
                <w:b w:val="0"/>
                <w:i w:val="0"/>
                <w:sz w:val="18"/>
              </w:rPr>
              <w:t>9,193</w:t>
            </w:r>
          </w:p>
        </w:tc>
        <w:tc>
          <w:tcPr>
            <w:tcW w:type="dxa" w:w="1764"/>
          </w:tcPr>
          <w:p>
            <w:pPr>
              <w:jc w:val="right"/>
            </w:pPr>
            <w:r>
              <w:rPr>
                <w:b w:val="0"/>
                <w:i w:val="0"/>
                <w:sz w:val="18"/>
              </w:rPr>
              <w:t>7,753</w:t>
            </w:r>
          </w:p>
        </w:tc>
        <w:tc>
          <w:tcPr>
            <w:tcW w:type="dxa" w:w="1764"/>
          </w:tcPr>
          <w:p>
            <w:pPr>
              <w:jc w:val="right"/>
            </w:pPr>
            <w:r>
              <w:rPr>
                <w:b w:val="0"/>
                <w:i w:val="0"/>
                <w:sz w:val="18"/>
              </w:rPr>
              <w:t>27,547</w:t>
            </w:r>
          </w:p>
        </w:tc>
        <w:tc>
          <w:tcPr>
            <w:tcW w:type="dxa" w:w="1764"/>
          </w:tcPr>
          <w:p>
            <w:pPr>
              <w:jc w:val="right"/>
            </w:pPr>
            <w:r>
              <w:rPr>
                <w:b w:val="0"/>
                <w:i w:val="0"/>
                <w:sz w:val="18"/>
              </w:rPr>
              <w:t>23,144</w:t>
            </w:r>
          </w:p>
        </w:tc>
      </w:tr>
      <w:tr>
        <w:tc>
          <w:tcPr>
            <w:tcW w:type="dxa" w:w="3312"/>
          </w:tcPr>
          <w:p>
            <w:r>
              <w:rPr>
                <w:b w:val="0"/>
                <w:i w:val="0"/>
                <w:sz w:val="18"/>
              </w:rPr>
              <w:t>Gross profit</w:t>
            </w:r>
          </w:p>
        </w:tc>
        <w:tc>
          <w:tcPr>
            <w:tcW w:type="dxa" w:w="1764"/>
          </w:tcPr>
          <w:p>
            <w:pPr>
              <w:jc w:val="right"/>
            </w:pPr>
            <w:r>
              <w:rPr>
                <w:b w:val="0"/>
                <w:i w:val="0"/>
                <w:sz w:val="18"/>
              </w:rPr>
              <w:t>6,412</w:t>
            </w:r>
          </w:p>
        </w:tc>
        <w:tc>
          <w:tcPr>
            <w:tcW w:type="dxa" w:w="1764"/>
          </w:tcPr>
          <w:p>
            <w:pPr>
              <w:jc w:val="right"/>
            </w:pPr>
            <w:r>
              <w:rPr>
                <w:b w:val="0"/>
                <w:i w:val="0"/>
                <w:sz w:val="18"/>
              </w:rPr>
              <w:t>5,119</w:t>
            </w:r>
          </w:p>
        </w:tc>
        <w:tc>
          <w:tcPr>
            <w:tcW w:type="dxa" w:w="1764"/>
          </w:tcPr>
          <w:p>
            <w:pPr>
              <w:jc w:val="right"/>
            </w:pPr>
            <w:r>
              <w:rPr>
                <w:b w:val="0"/>
                <w:i w:val="0"/>
                <w:sz w:val="18"/>
              </w:rPr>
              <w:t>19,097</w:t>
            </w:r>
          </w:p>
        </w:tc>
        <w:tc>
          <w:tcPr>
            <w:tcW w:type="dxa" w:w="1764"/>
          </w:tcPr>
          <w:p>
            <w:pPr>
              <w:jc w:val="right"/>
            </w:pPr>
            <w:r>
              <w:rPr>
                <w:b w:val="0"/>
                <w:i w:val="0"/>
                <w:sz w:val="18"/>
              </w:rPr>
              <w:t>15,487</w:t>
            </w:r>
          </w:p>
        </w:tc>
      </w:tr>
      <w:tr>
        <w:tc>
          <w:tcPr>
            <w:tcW w:type="dxa" w:w="3312"/>
          </w:tcPr>
          <w:p>
            <w:r>
              <w:rPr>
                <w:b w:val="0"/>
                <w:i w:val="0"/>
                <w:sz w:val="18"/>
              </w:rPr>
              <w:t>Operating income</w:t>
            </w:r>
          </w:p>
        </w:tc>
        <w:tc>
          <w:tcPr>
            <w:tcW w:type="dxa" w:w="1764"/>
          </w:tcPr>
          <w:p>
            <w:pPr>
              <w:jc w:val="right"/>
            </w:pPr>
            <w:r>
              <w:rPr>
                <w:b w:val="0"/>
                <w:i w:val="0"/>
                <w:sz w:val="18"/>
              </w:rPr>
              <w:t>4,982</w:t>
            </w:r>
          </w:p>
        </w:tc>
        <w:tc>
          <w:tcPr>
            <w:tcW w:type="dxa" w:w="1764"/>
          </w:tcPr>
          <w:p>
            <w:pPr>
              <w:jc w:val="right"/>
            </w:pPr>
            <w:r>
              <w:rPr>
                <w:b w:val="0"/>
                <w:i w:val="0"/>
                <w:sz w:val="18"/>
              </w:rPr>
              <w:t>3,851</w:t>
            </w:r>
          </w:p>
        </w:tc>
        <w:tc>
          <w:tcPr>
            <w:tcW w:type="dxa" w:w="1764"/>
          </w:tcPr>
          <w:p>
            <w:pPr>
              <w:jc w:val="right"/>
            </w:pPr>
            <w:r>
              <w:rPr>
                <w:b w:val="0"/>
                <w:i w:val="0"/>
                <w:sz w:val="18"/>
              </w:rPr>
              <w:t>15,065</w:t>
            </w:r>
          </w:p>
        </w:tc>
        <w:tc>
          <w:tcPr>
            <w:tcW w:type="dxa" w:w="1764"/>
          </w:tcPr>
          <w:p>
            <w:pPr>
              <w:jc w:val="right"/>
            </w:pPr>
            <w:r>
              <w:rPr>
                <w:b w:val="0"/>
                <w:i w:val="0"/>
                <w:sz w:val="18"/>
              </w:rPr>
              <w:t>11,553</w:t>
            </w:r>
          </w:p>
        </w:tc>
      </w:tr>
      <w:tr>
        <w:tc>
          <w:tcPr>
            <w:tcW w:type="dxa" w:w="3312"/>
          </w:tcPr>
          <w:p>
            <w:r>
              <w:rPr>
                <w:b w:val="0"/>
                <w:i w:val="0"/>
                <w:sz w:val="18"/>
              </w:rPr>
              <w:t>Pre-tax income</w:t>
            </w:r>
          </w:p>
        </w:tc>
        <w:tc>
          <w:tcPr>
            <w:tcW w:type="dxa" w:w="1764"/>
          </w:tcPr>
          <w:p>
            <w:pPr>
              <w:jc w:val="right"/>
            </w:pPr>
            <w:r>
              <w:rPr>
                <w:b w:val="0"/>
                <w:i w:val="0"/>
                <w:sz w:val="18"/>
              </w:rPr>
              <w:t>4,356</w:t>
            </w:r>
          </w:p>
        </w:tc>
        <w:tc>
          <w:tcPr>
            <w:tcW w:type="dxa" w:w="1764"/>
          </w:tcPr>
          <w:p>
            <w:pPr>
              <w:jc w:val="right"/>
            </w:pPr>
            <w:r>
              <w:rPr>
                <w:b w:val="0"/>
                <w:i w:val="0"/>
                <w:sz w:val="18"/>
              </w:rPr>
              <w:t>3,123</w:t>
            </w:r>
          </w:p>
        </w:tc>
        <w:tc>
          <w:tcPr>
            <w:tcW w:type="dxa" w:w="1764"/>
          </w:tcPr>
          <w:p>
            <w:pPr>
              <w:jc w:val="right"/>
            </w:pPr>
            <w:r>
              <w:rPr>
                <w:b w:val="0"/>
                <w:i w:val="0"/>
                <w:sz w:val="18"/>
              </w:rPr>
              <w:t>13,708</w:t>
            </w:r>
          </w:p>
        </w:tc>
        <w:tc>
          <w:tcPr>
            <w:tcW w:type="dxa" w:w="1764"/>
          </w:tcPr>
          <w:p>
            <w:pPr>
              <w:jc w:val="right"/>
            </w:pPr>
            <w:r>
              <w:rPr>
                <w:b w:val="0"/>
                <w:i w:val="0"/>
                <w:sz w:val="18"/>
              </w:rPr>
              <w:t>9,703</w:t>
            </w:r>
          </w:p>
        </w:tc>
      </w:tr>
      <w:tr>
        <w:tc>
          <w:tcPr>
            <w:tcW w:type="dxa" w:w="3312"/>
          </w:tcPr>
          <w:p>
            <w:r>
              <w:rPr>
                <w:b w:val="0"/>
                <w:i w:val="0"/>
                <w:sz w:val="18"/>
              </w:rPr>
              <w:t>Net income</w:t>
            </w:r>
          </w:p>
        </w:tc>
        <w:tc>
          <w:tcPr>
            <w:tcW w:type="dxa" w:w="1764"/>
          </w:tcPr>
          <w:p>
            <w:pPr>
              <w:jc w:val="right"/>
            </w:pPr>
            <w:r>
              <w:rPr>
                <w:b w:val="0"/>
                <w:i w:val="0"/>
                <w:sz w:val="18"/>
              </w:rPr>
              <w:t>3,329</w:t>
            </w:r>
          </w:p>
        </w:tc>
        <w:tc>
          <w:tcPr>
            <w:tcW w:type="dxa" w:w="1764"/>
          </w:tcPr>
          <w:p>
            <w:pPr>
              <w:jc w:val="right"/>
            </w:pPr>
            <w:r>
              <w:rPr>
                <w:b w:val="0"/>
                <w:i w:val="0"/>
                <w:sz w:val="18"/>
              </w:rPr>
              <w:t>2,305</w:t>
            </w:r>
          </w:p>
        </w:tc>
        <w:tc>
          <w:tcPr>
            <w:tcW w:type="dxa" w:w="1764"/>
          </w:tcPr>
          <w:p>
            <w:pPr>
              <w:jc w:val="right"/>
            </w:pPr>
            <w:r>
              <w:rPr>
                <w:b w:val="0"/>
                <w:i w:val="0"/>
                <w:sz w:val="18"/>
              </w:rPr>
              <w:t>10,489</w:t>
            </w:r>
          </w:p>
        </w:tc>
        <w:tc>
          <w:tcPr>
            <w:tcW w:type="dxa" w:w="1764"/>
          </w:tcPr>
          <w:p>
            <w:pPr>
              <w:jc w:val="right"/>
            </w:pPr>
            <w:r>
              <w:rPr>
                <w:b w:val="0"/>
                <w:i w:val="0"/>
                <w:sz w:val="18"/>
              </w:rPr>
              <w:t>7,524</w:t>
            </w:r>
          </w:p>
        </w:tc>
      </w:tr>
      <w:tr>
        <w:tc>
          <w:tcPr>
            <w:tcW w:type="dxa" w:w="3312"/>
          </w:tcPr>
          <w:p>
            <w:r>
              <w:rPr>
                <w:b w:val="0"/>
                <w:i w:val="0"/>
                <w:sz w:val="18"/>
              </w:rPr>
              <w:t xml:space="preserve">  of which: to parent</w:t>
            </w:r>
          </w:p>
        </w:tc>
        <w:tc>
          <w:tcPr>
            <w:tcW w:type="dxa" w:w="1764"/>
          </w:tcPr>
          <w:p>
            <w:pPr>
              <w:jc w:val="right"/>
            </w:pPr>
            <w:r>
              <w:rPr>
                <w:b w:val="0"/>
                <w:i w:val="0"/>
                <w:sz w:val="18"/>
              </w:rPr>
              <w:t>3,188</w:t>
            </w:r>
          </w:p>
        </w:tc>
        <w:tc>
          <w:tcPr>
            <w:tcW w:type="dxa" w:w="1764"/>
          </w:tcPr>
          <w:p>
            <w:pPr>
              <w:jc w:val="right"/>
            </w:pPr>
            <w:r>
              <w:rPr>
                <w:b w:val="0"/>
                <w:i w:val="0"/>
                <w:sz w:val="18"/>
              </w:rPr>
              <w:t>2,214</w:t>
            </w:r>
          </w:p>
        </w:tc>
        <w:tc>
          <w:tcPr>
            <w:tcW w:type="dxa" w:w="1764"/>
          </w:tcPr>
          <w:p>
            <w:pPr>
              <w:jc w:val="right"/>
            </w:pPr>
            <w:r>
              <w:rPr>
                <w:b w:val="0"/>
                <w:i w:val="0"/>
                <w:sz w:val="18"/>
              </w:rPr>
              <w:t>10,103</w:t>
            </w:r>
          </w:p>
        </w:tc>
        <w:tc>
          <w:tcPr>
            <w:tcW w:type="dxa" w:w="1764"/>
          </w:tcPr>
          <w:p>
            <w:pPr>
              <w:jc w:val="right"/>
            </w:pPr>
            <w:r>
              <w:rPr>
                <w:b w:val="0"/>
                <w:i w:val="0"/>
                <w:sz w:val="18"/>
              </w:rPr>
              <w:t>7,262</w:t>
            </w:r>
          </w:p>
        </w:tc>
      </w:tr>
      <w:tr>
        <w:tc>
          <w:tcPr>
            <w:tcW w:type="dxa" w:w="3312"/>
          </w:tcPr>
          <w:p>
            <w:r>
              <w:rPr>
                <w:b w:val="0"/>
                <w:i w:val="0"/>
                <w:sz w:val="18"/>
              </w:rPr>
              <w:t>EPS (₱)</w:t>
            </w:r>
          </w:p>
        </w:tc>
        <w:tc>
          <w:tcPr>
            <w:tcW w:type="dxa" w:w="1764"/>
          </w:tcPr>
          <w:p>
            <w:pPr>
              <w:jc w:val="right"/>
            </w:pPr>
            <w:r>
              <w:rPr>
                <w:b w:val="0"/>
                <w:i w:val="0"/>
                <w:sz w:val="18"/>
              </w:rPr>
              <w:t>1.08</w:t>
            </w:r>
          </w:p>
        </w:tc>
        <w:tc>
          <w:tcPr>
            <w:tcW w:type="dxa" w:w="1764"/>
          </w:tcPr>
          <w:p>
            <w:pPr>
              <w:jc w:val="right"/>
            </w:pPr>
            <w:r>
              <w:rPr>
                <w:b w:val="0"/>
                <w:i w:val="0"/>
                <w:sz w:val="18"/>
              </w:rPr>
              <w:t>0.67</w:t>
            </w:r>
          </w:p>
        </w:tc>
        <w:tc>
          <w:tcPr>
            <w:tcW w:type="dxa" w:w="1764"/>
          </w:tcPr>
          <w:p>
            <w:pPr>
              <w:jc w:val="right"/>
            </w:pPr>
            <w:r>
              <w:rPr>
                <w:b w:val="0"/>
                <w:i w:val="0"/>
                <w:sz w:val="18"/>
              </w:rPr>
              <w:t>3.43</w:t>
            </w:r>
          </w:p>
        </w:tc>
        <w:tc>
          <w:tcPr>
            <w:tcW w:type="dxa" w:w="1764"/>
          </w:tcPr>
          <w:p>
            <w:pPr>
              <w:jc w:val="right"/>
            </w:pPr>
            <w:r>
              <w:rPr>
                <w:b w:val="0"/>
                <w:i w:val="0"/>
                <w:sz w:val="18"/>
              </w:rPr>
              <w:t>2.21</w:t>
            </w:r>
          </w:p>
        </w:tc>
      </w:tr>
    </w:tbl>
    <w:p>
      <w:pPr>
        <w:spacing w:before="160" w:after="60"/>
      </w:pPr>
      <w:r>
        <w:rPr>
          <w:b/>
          <w:i w:val="0"/>
          <w:color w:val="1F3864"/>
          <w:sz w:val="21"/>
        </w:rPr>
        <w:t>Valuation summary (DCF)</w:t>
      </w:r>
    </w:p>
    <w:tbl>
      <w:tblPr>
        <w:tblStyle w:val="TableGrid"/>
        <w:tblW w:type="auto" w:w="0"/>
        <w:tblLayout w:type="fixed"/>
        <w:tblLook w:firstColumn="1" w:firstRow="1" w:lastColumn="0" w:lastRow="0" w:noHBand="0" w:noVBand="1" w:val="04A0"/>
      </w:tblPr>
      <w:tblGrid>
        <w:gridCol w:w="5256"/>
        <w:gridCol w:w="5256"/>
      </w:tblGrid>
      <w:tr>
        <w:tc>
          <w:tcPr>
            <w:tcW w:type="dxa" w:w="3744"/>
            <w:shd w:val="clear" w:fill="1F3864"/>
          </w:tcPr>
          <w:p>
            <w:r>
              <w:rPr>
                <w:b/>
                <w:i w:val="0"/>
                <w:color w:val="FFFFFF"/>
                <w:sz w:val="18"/>
              </w:rPr>
            </w:r>
          </w:p>
        </w:tc>
        <w:tc>
          <w:tcPr>
            <w:tcW w:type="dxa" w:w="6624"/>
            <w:shd w:val="clear" w:fill="1F3864"/>
          </w:tcPr>
          <w:p>
            <w:pPr>
              <w:jc w:val="right"/>
            </w:pPr>
            <w:r>
              <w:rPr>
                <w:b/>
                <w:i w:val="0"/>
                <w:color w:val="FFFFFF"/>
                <w:sz w:val="18"/>
              </w:rPr>
              <w:t>₱m / x</w:t>
            </w:r>
          </w:p>
        </w:tc>
      </w:tr>
      <w:tr>
        <w:tc>
          <w:tcPr>
            <w:tcW w:type="dxa" w:w="3744"/>
          </w:tcPr>
          <w:p>
            <w:r>
              <w:rPr>
                <w:b w:val="0"/>
                <w:i w:val="0"/>
                <w:sz w:val="18"/>
              </w:rPr>
              <w:t>Enterprise value</w:t>
            </w:r>
          </w:p>
        </w:tc>
        <w:tc>
          <w:tcPr>
            <w:tcW w:type="dxa" w:w="6624"/>
          </w:tcPr>
          <w:p>
            <w:pPr>
              <w:jc w:val="right"/>
            </w:pPr>
            <w:r>
              <w:rPr>
                <w:b w:val="0"/>
                <w:i w:val="0"/>
                <w:sz w:val="18"/>
              </w:rPr>
              <w:t>167,909</w:t>
            </w:r>
          </w:p>
        </w:tc>
      </w:tr>
      <w:tr>
        <w:tc>
          <w:tcPr>
            <w:tcW w:type="dxa" w:w="3744"/>
          </w:tcPr>
          <w:p>
            <w:r>
              <w:rPr>
                <w:b w:val="0"/>
                <w:i w:val="0"/>
                <w:sz w:val="18"/>
              </w:rPr>
              <w:t>Less: net debt</w:t>
            </w:r>
          </w:p>
        </w:tc>
        <w:tc>
          <w:tcPr>
            <w:tcW w:type="dxa" w:w="6624"/>
          </w:tcPr>
          <w:p>
            <w:pPr>
              <w:jc w:val="right"/>
            </w:pPr>
            <w:r>
              <w:rPr>
                <w:b w:val="0"/>
                <w:i w:val="0"/>
                <w:sz w:val="18"/>
              </w:rPr>
              <w:t>(94,514)</w:t>
            </w:r>
          </w:p>
        </w:tc>
      </w:tr>
      <w:tr>
        <w:tc>
          <w:tcPr>
            <w:tcW w:type="dxa" w:w="3744"/>
          </w:tcPr>
          <w:p>
            <w:r>
              <w:rPr>
                <w:b w:val="0"/>
                <w:i w:val="0"/>
                <w:sz w:val="18"/>
              </w:rPr>
              <w:t>Less: NCI</w:t>
            </w:r>
          </w:p>
        </w:tc>
        <w:tc>
          <w:tcPr>
            <w:tcW w:type="dxa" w:w="6624"/>
          </w:tcPr>
          <w:p>
            <w:pPr>
              <w:jc w:val="right"/>
            </w:pPr>
            <w:r>
              <w:rPr>
                <w:b w:val="0"/>
                <w:i w:val="0"/>
                <w:sz w:val="18"/>
              </w:rPr>
              <w:t>(1,973)</w:t>
            </w:r>
          </w:p>
        </w:tc>
      </w:tr>
      <w:tr>
        <w:tc>
          <w:tcPr>
            <w:tcW w:type="dxa" w:w="3744"/>
          </w:tcPr>
          <w:p>
            <w:r>
              <w:rPr>
                <w:b w:val="0"/>
                <w:i w:val="0"/>
                <w:sz w:val="18"/>
              </w:rPr>
              <w:t>Less: preferred</w:t>
            </w:r>
          </w:p>
        </w:tc>
        <w:tc>
          <w:tcPr>
            <w:tcW w:type="dxa" w:w="6624"/>
          </w:tcPr>
          <w:p>
            <w:pPr>
              <w:jc w:val="right"/>
            </w:pPr>
            <w:r>
              <w:rPr>
                <w:b w:val="0"/>
                <w:i w:val="0"/>
                <w:sz w:val="18"/>
              </w:rPr>
              <w:t>(400)</w:t>
            </w:r>
          </w:p>
        </w:tc>
      </w:tr>
      <w:tr>
        <w:tc>
          <w:tcPr>
            <w:tcW w:type="dxa" w:w="3744"/>
          </w:tcPr>
          <w:p>
            <w:r>
              <w:rPr>
                <w:b w:val="0"/>
                <w:i w:val="0"/>
                <w:sz w:val="18"/>
              </w:rPr>
              <w:t>Equity value</w:t>
            </w:r>
          </w:p>
        </w:tc>
        <w:tc>
          <w:tcPr>
            <w:tcW w:type="dxa" w:w="6624"/>
          </w:tcPr>
          <w:p>
            <w:pPr>
              <w:jc w:val="right"/>
            </w:pPr>
            <w:r>
              <w:rPr>
                <w:b w:val="0"/>
                <w:i w:val="0"/>
                <w:sz w:val="18"/>
              </w:rPr>
              <w:t>71,021</w:t>
            </w:r>
          </w:p>
        </w:tc>
      </w:tr>
      <w:tr>
        <w:tc>
          <w:tcPr>
            <w:tcW w:type="dxa" w:w="3744"/>
          </w:tcPr>
          <w:p>
            <w:r>
              <w:rPr>
                <w:b w:val="0"/>
                <w:i w:val="0"/>
                <w:sz w:val="18"/>
              </w:rPr>
              <w:t>Fair value / share (₱)</w:t>
            </w:r>
          </w:p>
        </w:tc>
        <w:tc>
          <w:tcPr>
            <w:tcW w:type="dxa" w:w="6624"/>
          </w:tcPr>
          <w:p>
            <w:pPr>
              <w:jc w:val="right"/>
            </w:pPr>
            <w:r>
              <w:rPr>
                <w:b w:val="0"/>
                <w:i w:val="0"/>
                <w:sz w:val="18"/>
              </w:rPr>
              <w:t>₱27.35</w:t>
            </w:r>
          </w:p>
        </w:tc>
      </w:tr>
      <w:tr>
        <w:tc>
          <w:tcPr>
            <w:tcW w:type="dxa" w:w="3744"/>
          </w:tcPr>
          <w:p>
            <w:r>
              <w:rPr>
                <w:b w:val="0"/>
                <w:i w:val="0"/>
                <w:sz w:val="18"/>
              </w:rPr>
              <w:t>WACC</w:t>
            </w:r>
          </w:p>
        </w:tc>
        <w:tc>
          <w:tcPr>
            <w:tcW w:type="dxa" w:w="6624"/>
          </w:tcPr>
          <w:p>
            <w:pPr>
              <w:jc w:val="right"/>
            </w:pPr>
            <w:r>
              <w:rPr>
                <w:b w:val="0"/>
                <w:i w:val="0"/>
                <w:sz w:val="18"/>
              </w:rPr>
              <w:t>8.4%</w:t>
            </w:r>
          </w:p>
        </w:tc>
      </w:tr>
      <w:tr>
        <w:tc>
          <w:tcPr>
            <w:tcW w:type="dxa" w:w="3744"/>
          </w:tcPr>
          <w:p>
            <w:r>
              <w:rPr>
                <w:b w:val="0"/>
                <w:i w:val="0"/>
                <w:sz w:val="18"/>
              </w:rPr>
              <w:t>Terminal growth</w:t>
            </w:r>
          </w:p>
        </w:tc>
        <w:tc>
          <w:tcPr>
            <w:tcW w:type="dxa" w:w="6624"/>
          </w:tcPr>
          <w:p>
            <w:pPr>
              <w:jc w:val="right"/>
            </w:pPr>
            <w:r>
              <w:rPr>
                <w:b w:val="0"/>
                <w:i w:val="0"/>
                <w:sz w:val="18"/>
              </w:rPr>
              <w:t>2.5%</w:t>
            </w:r>
          </w:p>
        </w:tc>
      </w:tr>
      <w:tr>
        <w:tc>
          <w:tcPr>
            <w:tcW w:type="dxa" w:w="3744"/>
          </w:tcPr>
          <w:p>
            <w:r>
              <w:rPr>
                <w:b w:val="0"/>
                <w:i w:val="0"/>
                <w:sz w:val="18"/>
              </w:rPr>
              <w:t>Beta</w:t>
            </w:r>
          </w:p>
        </w:tc>
        <w:tc>
          <w:tcPr>
            <w:tcW w:type="dxa" w:w="6624"/>
          </w:tcPr>
          <w:p>
            <w:pPr>
              <w:jc w:val="right"/>
            </w:pPr>
            <w:r>
              <w:rPr>
                <w:b w:val="0"/>
                <w:i w:val="0"/>
                <w:sz w:val="18"/>
              </w:rPr>
              <w:t>0.46</w:t>
            </w:r>
          </w:p>
        </w:tc>
      </w:tr>
    </w:tbl>
    <w:p>
      <w:r>
        <w:drawing>
          <wp:inline xmlns:a="http://schemas.openxmlformats.org/drawingml/2006/main" xmlns:pic="http://schemas.openxmlformats.org/drawingml/2006/picture">
            <wp:extent cx="2926080" cy="1516908"/>
            <wp:docPr id="1" name="Picture 1"/>
            <wp:cNvGraphicFramePr>
              <a:graphicFrameLocks noChangeAspect="1"/>
            </wp:cNvGraphicFramePr>
            <a:graphic>
              <a:graphicData uri="http://schemas.openxmlformats.org/drawingml/2006/picture">
                <pic:pic>
                  <pic:nvPicPr>
                    <pic:cNvPr id="0" name="valuation_bar.png"/>
                    <pic:cNvPicPr/>
                  </pic:nvPicPr>
                  <pic:blipFill>
                    <a:blip r:embed="rId9"/>
                    <a:stretch>
                      <a:fillRect/>
                    </a:stretch>
                  </pic:blipFill>
                  <pic:spPr>
                    <a:xfrm>
                      <a:off x="0" y="0"/>
                      <a:ext cx="2926080" cy="1516908"/>
                    </a:xfrm>
                    <a:prstGeom prst="rect"/>
                  </pic:spPr>
                </pic:pic>
              </a:graphicData>
            </a:graphic>
          </wp:inline>
        </w:drawing>
      </w:r>
    </w:p>
    <w:p>
      <w:r>
        <w:br w:type="page"/>
      </w:r>
    </w:p>
    <w:p>
      <w:pPr>
        <w:spacing w:before="200" w:after="80"/>
        <w:pBdr>
          <w:bottom w:val="single" w:sz="6" w:space="2" w:color="1F3864"/>
        </w:pBdr>
      </w:pPr>
      <w:r>
        <w:rPr>
          <w:b/>
          <w:i w:val="0"/>
          <w:color w:val="1F3864"/>
          <w:sz w:val="24"/>
        </w:rPr>
        <w:t>Earnings recap</w:t>
      </w:r>
    </w:p>
    <w:p>
      <w:pPr>
        <w:spacing w:before="40" w:after="40"/>
      </w:pPr>
      <w:r>
        <w:rPr>
          <w:b w:val="0"/>
          <w:i w:val="0"/>
          <w:sz w:val="20"/>
        </w:rPr>
        <w:t>For 9M-2024, Manila Water reported revenue of ₱27.5bn versus ₱23.1bn a year earlier, while net income attributable to parent rose to ₱10.10bn from ₱7.26bn, translating to 9M EPS of ₱3.43. Q3-2024 net income to parent reached ₱3.19bn against ₱2.21bn. Growth was led by a 20% Parent Company average tariff increase, 2% billed-volume growth, and a 23% rise in Non-East Zone revenues, partly offset by higher personnel, premises, and regulatory-related costs.</w:t>
      </w:r>
    </w:p>
    <w:p>
      <w:pPr>
        <w:spacing w:before="200" w:after="80"/>
        <w:pBdr>
          <w:bottom w:val="single" w:sz="6" w:space="2" w:color="1F3864"/>
        </w:pBdr>
      </w:pPr>
      <w:r>
        <w:rPr>
          <w:b/>
          <w:i w:val="0"/>
          <w:color w:val="1F3864"/>
          <w:sz w:val="24"/>
        </w:rPr>
        <w:t>Sector context</w:t>
      </w:r>
    </w:p>
    <w:p>
      <w:pPr>
        <w:spacing w:before="40" w:after="40"/>
      </w:pPr>
      <w:r>
        <w:rPr>
          <w:b w:val="0"/>
          <w:i w:val="0"/>
          <w:sz w:val="20"/>
        </w:rPr>
        <w:t>Philippine regulated water utilities operate under long-dated concession and franchise frameworks featuring periodic, regulator-approved tariff resets that support cash-flow predictability. Sector demand is underpinned by urbanization, network expansion, and growing sewerage-coverage mandates, while capital intensity remains high. Operators face exposure to supply variability from weather patterns such as El Niño, alongside power, chemical, and inflation-linked cost pressures.</w:t>
      </w:r>
    </w:p>
    <w:p>
      <w:pPr>
        <w:spacing w:before="200" w:after="80"/>
        <w:pBdr>
          <w:bottom w:val="single" w:sz="6" w:space="2" w:color="1F3864"/>
        </w:pBdr>
      </w:pPr>
      <w:r>
        <w:rPr>
          <w:b/>
          <w:i w:val="0"/>
          <w:color w:val="1F3864"/>
          <w:sz w:val="24"/>
        </w:rPr>
        <w:t>Outlook</w:t>
      </w:r>
    </w:p>
    <w:p>
      <w:pPr>
        <w:spacing w:before="40" w:after="40"/>
      </w:pPr>
      <w:r>
        <w:rPr>
          <w:b w:val="0"/>
          <w:i w:val="0"/>
          <w:sz w:val="20"/>
        </w:rPr>
        <w:t>We expect earnings to be supported by scheduled tariff adjustments running through 2027 and an indicative 2028 adjustment tied to the Wawa Bulk Water Supply Project. The environmental charge rises from 25% to 30% beginning January 2026, with a sewer-charge increase contingent on attaining 30% sewer coverage by end-2025. The pending concession-term extension to 2047 is a key catalyst, while capital expenditures are to be funded through internally generated funds and debt.</w:t>
      </w:r>
    </w:p>
    <w:p>
      <w:pPr>
        <w:spacing w:before="200" w:after="80"/>
        <w:pBdr>
          <w:bottom w:val="single" w:sz="6" w:space="2" w:color="1F3864"/>
        </w:pBdr>
      </w:pPr>
      <w:r>
        <w:rPr>
          <w:b/>
          <w:i w:val="0"/>
          <w:color w:val="1F3864"/>
          <w:sz w:val="24"/>
        </w:rPr>
        <w:t>Recent developments (live, as of 2026-06-09)</w:t>
      </w:r>
    </w:p>
    <w:p>
      <w:pPr>
        <w:pStyle w:val="ListBullet"/>
      </w:pPr>
      <w:r>
        <w:rPr>
          <w:b w:val="0"/>
          <w:i w:val="0"/>
          <w:sz w:val="19"/>
        </w:rPr>
        <w:t>Manila Water reported a net income of "15.8 billion in 2025, marking a 51% increase (GMA Network).</w:t>
      </w:r>
    </w:p>
    <w:p>
      <w:pPr>
        <w:pStyle w:val="ListBullet"/>
      </w:pPr>
      <w:r>
        <w:rPr>
          <w:b w:val="0"/>
          <w:i w:val="0"/>
          <w:sz w:val="19"/>
        </w:rPr>
        <w:t>The company has bolstered alternative supply sources in anticipation of a severe El Ni</w:t>
        <w:br/>
        <w:br/>
        <w:t>o (Manila Standard).</w:t>
      </w:r>
    </w:p>
    <w:p>
      <w:pPr>
        <w:pStyle w:val="ListBullet"/>
      </w:pPr>
      <w:r>
        <w:rPr>
          <w:b w:val="0"/>
          <w:i w:val="0"/>
          <w:sz w:val="19"/>
        </w:rPr>
        <w:t>The 60-Million-Liters-Per-Day Aglipay Sewage Treatment Plant was inaugurated by President Ferdinand R. Marcos Jr. (pbbm.com.ph).</w:t>
      </w:r>
    </w:p>
    <w:p>
      <w:pPr>
        <w:pStyle w:val="ListBullet"/>
      </w:pPr>
      <w:r>
        <w:rPr>
          <w:b w:val="0"/>
          <w:i w:val="0"/>
          <w:sz w:val="19"/>
        </w:rPr>
        <w:t>Manila Water has switched to 100% renewable energy for its retail supply (Inquirer.net).</w:t>
      </w:r>
    </w:p>
    <w:p>
      <w:pPr>
        <w:pStyle w:val="ListBullet"/>
      </w:pPr>
      <w:r>
        <w:rPr>
          <w:b w:val="0"/>
          <w:i w:val="0"/>
          <w:sz w:val="19"/>
        </w:rPr>
        <w:t>The PPP Center conducted a knowledge session for Manila Water on the new PPP Code and its Implementing Rules and Regulations (PPP Center of the Philippines).</w:t>
      </w:r>
    </w:p>
    <w:p>
      <w:pPr>
        <w:spacing w:before="200" w:after="80"/>
        <w:pBdr>
          <w:bottom w:val="single" w:sz="6" w:space="2" w:color="1F3864"/>
        </w:pBdr>
      </w:pPr>
      <w:r>
        <w:rPr>
          <w:b/>
          <w:i w:val="0"/>
          <w:color w:val="1F3864"/>
          <w:sz w:val="24"/>
        </w:rPr>
        <w:t>Key risks</w:t>
      </w:r>
    </w:p>
    <w:p>
      <w:pPr>
        <w:pStyle w:val="ListBullet"/>
      </w:pPr>
      <w:r>
        <w:rPr>
          <w:b/>
          <w:i w:val="0"/>
          <w:sz w:val="19"/>
        </w:rPr>
        <w:t xml:space="preserve">Regulatory risk — </w:t>
      </w:r>
      <w:r>
        <w:rPr>
          <w:b w:val="0"/>
          <w:i w:val="0"/>
          <w:sz w:val="19"/>
        </w:rPr>
        <w:t>Delays or unfavorable outcomes in tariff approvals or the concession-extension application could compress revenue and valuation.</w:t>
      </w:r>
    </w:p>
    <w:p>
      <w:pPr>
        <w:pStyle w:val="ListBullet"/>
      </w:pPr>
      <w:r>
        <w:rPr>
          <w:b/>
          <w:i w:val="0"/>
          <w:sz w:val="19"/>
        </w:rPr>
        <w:t xml:space="preserve">Supply risk — </w:t>
      </w:r>
      <w:r>
        <w:rPr>
          <w:b w:val="0"/>
          <w:i w:val="0"/>
          <w:sz w:val="19"/>
        </w:rPr>
        <w:t>Severe El Niño or drought conditions could constrain raw-water availability and pressure service reliability despite alternative-supply investments.</w:t>
      </w:r>
    </w:p>
    <w:p>
      <w:pPr>
        <w:pStyle w:val="ListBullet"/>
      </w:pPr>
      <w:r>
        <w:rPr>
          <w:b/>
          <w:i w:val="0"/>
          <w:sz w:val="19"/>
        </w:rPr>
        <w:t xml:space="preserve">Cost inflation — </w:t>
      </w:r>
      <w:r>
        <w:rPr>
          <w:b w:val="0"/>
          <w:i w:val="0"/>
          <w:sz w:val="19"/>
        </w:rPr>
        <w:t>Rising personnel, premises, power, chemical, and regulatory costs may erode margins if not offset by tariff recovery.</w:t>
      </w:r>
    </w:p>
    <w:p>
      <w:pPr>
        <w:pStyle w:val="ListBullet"/>
      </w:pPr>
      <w:r>
        <w:rPr>
          <w:b/>
          <w:i w:val="0"/>
          <w:sz w:val="19"/>
        </w:rPr>
        <w:t xml:space="preserve">Ownership transition risk — </w:t>
      </w:r>
      <w:r>
        <w:rPr>
          <w:b w:val="0"/>
          <w:i w:val="0"/>
          <w:sz w:val="19"/>
        </w:rPr>
        <w:t>The change of control to Trident Water introduces uncertainty around strategy, governance, and capital allocation.</w:t>
      </w:r>
    </w:p>
    <w:p>
      <w:r>
        <w:br w:type="page"/>
      </w:r>
    </w:p>
    <w:p>
      <w:pPr>
        <w:spacing w:before="200" w:after="80"/>
        <w:pBdr>
          <w:bottom w:val="single" w:sz="6" w:space="2" w:color="1F3864"/>
        </w:pBdr>
      </w:pPr>
      <w:r>
        <w:rPr>
          <w:b/>
          <w:i w:val="0"/>
          <w:color w:val="1F3864"/>
          <w:sz w:val="24"/>
        </w:rPr>
        <w:t>Financial highlights</w:t>
      </w:r>
    </w:p>
    <w:tbl>
      <w:tblPr>
        <w:tblStyle w:val="TableGrid"/>
        <w:tblW w:type="auto" w:w="0"/>
        <w:tblLayout w:type="fixed"/>
        <w:tblLook w:firstColumn="1" w:firstRow="1" w:lastColumn="0" w:lastRow="0" w:noHBand="0" w:noVBand="1" w:val="04A0"/>
      </w:tblPr>
      <w:tblGrid>
        <w:gridCol w:w="2102"/>
        <w:gridCol w:w="2102"/>
        <w:gridCol w:w="2102"/>
        <w:gridCol w:w="2102"/>
        <w:gridCol w:w="2102"/>
      </w:tblGrid>
      <w:tr>
        <w:tc>
          <w:tcPr>
            <w:tcW w:type="dxa" w:w="3312"/>
            <w:shd w:val="clear" w:fill="1F3864"/>
          </w:tcPr>
          <w:p>
            <w:r>
              <w:rPr>
                <w:b/>
                <w:i w:val="0"/>
                <w:color w:val="FFFFFF"/>
                <w:sz w:val="18"/>
              </w:rPr>
              <w:t>₱m</w:t>
            </w:r>
          </w:p>
        </w:tc>
        <w:tc>
          <w:tcPr>
            <w:tcW w:type="dxa" w:w="1764"/>
            <w:shd w:val="clear" w:fill="1F3864"/>
          </w:tcPr>
          <w:p>
            <w:pPr>
              <w:jc w:val="right"/>
            </w:pPr>
            <w:r>
              <w:rPr>
                <w:b/>
                <w:i w:val="0"/>
                <w:color w:val="FFFFFF"/>
                <w:sz w:val="18"/>
              </w:rPr>
              <w:t>2024E</w:t>
            </w:r>
          </w:p>
        </w:tc>
        <w:tc>
          <w:tcPr>
            <w:tcW w:type="dxa" w:w="1764"/>
            <w:shd w:val="clear" w:fill="1F3864"/>
          </w:tcPr>
          <w:p>
            <w:pPr>
              <w:jc w:val="right"/>
            </w:pPr>
            <w:r>
              <w:rPr>
                <w:b/>
                <w:i w:val="0"/>
                <w:color w:val="FFFFFF"/>
                <w:sz w:val="18"/>
              </w:rPr>
              <w:t>2025E</w:t>
            </w:r>
          </w:p>
        </w:tc>
        <w:tc>
          <w:tcPr>
            <w:tcW w:type="dxa" w:w="1764"/>
            <w:shd w:val="clear" w:fill="1F3864"/>
          </w:tcPr>
          <w:p>
            <w:pPr>
              <w:jc w:val="right"/>
            </w:pPr>
            <w:r>
              <w:rPr>
                <w:b/>
                <w:i w:val="0"/>
                <w:color w:val="FFFFFF"/>
                <w:sz w:val="18"/>
              </w:rPr>
              <w:t>2026E</w:t>
            </w:r>
          </w:p>
        </w:tc>
        <w:tc>
          <w:tcPr>
            <w:tcW w:type="dxa" w:w="1764"/>
            <w:shd w:val="clear" w:fill="1F3864"/>
          </w:tcPr>
          <w:p>
            <w:pPr>
              <w:jc w:val="right"/>
            </w:pPr>
            <w:r>
              <w:rPr>
                <w:b/>
                <w:i w:val="0"/>
                <w:color w:val="FFFFFF"/>
                <w:sz w:val="18"/>
              </w:rPr>
              <w:t>2027E</w:t>
            </w:r>
          </w:p>
        </w:tc>
      </w:tr>
      <w:tr>
        <w:tc>
          <w:tcPr>
            <w:tcW w:type="dxa" w:w="3312"/>
          </w:tcPr>
          <w:p>
            <w:r>
              <w:rPr>
                <w:b w:val="0"/>
                <w:i w:val="0"/>
                <w:sz w:val="18"/>
              </w:rPr>
              <w:t>Revenue</w:t>
            </w:r>
          </w:p>
        </w:tc>
        <w:tc>
          <w:tcPr>
            <w:tcW w:type="dxa" w:w="1764"/>
          </w:tcPr>
          <w:p>
            <w:pPr>
              <w:jc w:val="right"/>
            </w:pPr>
            <w:r>
              <w:rPr>
                <w:b w:val="0"/>
                <w:i w:val="0"/>
                <w:sz w:val="18"/>
              </w:rPr>
              <w:t>36,729</w:t>
            </w:r>
          </w:p>
        </w:tc>
        <w:tc>
          <w:tcPr>
            <w:tcW w:type="dxa" w:w="1764"/>
          </w:tcPr>
          <w:p>
            <w:pPr>
              <w:jc w:val="right"/>
            </w:pPr>
            <w:r>
              <w:rPr>
                <w:b w:val="0"/>
                <w:i w:val="0"/>
                <w:sz w:val="18"/>
              </w:rPr>
              <w:t>40,402</w:t>
            </w:r>
          </w:p>
        </w:tc>
        <w:tc>
          <w:tcPr>
            <w:tcW w:type="dxa" w:w="1764"/>
          </w:tcPr>
          <w:p>
            <w:pPr>
              <w:jc w:val="right"/>
            </w:pPr>
            <w:r>
              <w:rPr>
                <w:b w:val="0"/>
                <w:i w:val="0"/>
                <w:sz w:val="18"/>
              </w:rPr>
              <w:t>43,635</w:t>
            </w:r>
          </w:p>
        </w:tc>
        <w:tc>
          <w:tcPr>
            <w:tcW w:type="dxa" w:w="1764"/>
          </w:tcPr>
          <w:p>
            <w:pPr>
              <w:jc w:val="right"/>
            </w:pPr>
            <w:r>
              <w:rPr>
                <w:b w:val="0"/>
                <w:i w:val="0"/>
                <w:sz w:val="18"/>
              </w:rPr>
              <w:t>46,689</w:t>
            </w:r>
          </w:p>
        </w:tc>
      </w:tr>
      <w:tr>
        <w:tc>
          <w:tcPr>
            <w:tcW w:type="dxa" w:w="3312"/>
          </w:tcPr>
          <w:p>
            <w:r>
              <w:rPr>
                <w:b w:val="0"/>
                <w:i w:val="0"/>
                <w:sz w:val="18"/>
              </w:rPr>
              <w:t>EBIT</w:t>
            </w:r>
          </w:p>
        </w:tc>
        <w:tc>
          <w:tcPr>
            <w:tcW w:type="dxa" w:w="1764"/>
          </w:tcPr>
          <w:p>
            <w:pPr>
              <w:jc w:val="right"/>
            </w:pPr>
            <w:r>
              <w:rPr>
                <w:b w:val="0"/>
                <w:i w:val="0"/>
                <w:sz w:val="18"/>
              </w:rPr>
              <w:t>20,087</w:t>
            </w:r>
          </w:p>
        </w:tc>
        <w:tc>
          <w:tcPr>
            <w:tcW w:type="dxa" w:w="1764"/>
          </w:tcPr>
          <w:p>
            <w:pPr>
              <w:jc w:val="right"/>
            </w:pPr>
            <w:r>
              <w:rPr>
                <w:b w:val="0"/>
                <w:i w:val="0"/>
                <w:sz w:val="18"/>
              </w:rPr>
              <w:t>22,095</w:t>
            </w:r>
          </w:p>
        </w:tc>
        <w:tc>
          <w:tcPr>
            <w:tcW w:type="dxa" w:w="1764"/>
          </w:tcPr>
          <w:p>
            <w:pPr>
              <w:jc w:val="right"/>
            </w:pPr>
            <w:r>
              <w:rPr>
                <w:b w:val="0"/>
                <w:i w:val="0"/>
                <w:sz w:val="18"/>
              </w:rPr>
              <w:t>23,863</w:t>
            </w:r>
          </w:p>
        </w:tc>
        <w:tc>
          <w:tcPr>
            <w:tcW w:type="dxa" w:w="1764"/>
          </w:tcPr>
          <w:p>
            <w:pPr>
              <w:jc w:val="right"/>
            </w:pPr>
            <w:r>
              <w:rPr>
                <w:b w:val="0"/>
                <w:i w:val="0"/>
                <w:sz w:val="18"/>
              </w:rPr>
              <w:t>25,533</w:t>
            </w:r>
          </w:p>
        </w:tc>
      </w:tr>
      <w:tr>
        <w:tc>
          <w:tcPr>
            <w:tcW w:type="dxa" w:w="3312"/>
          </w:tcPr>
          <w:p>
            <w:r>
              <w:rPr>
                <w:b w:val="0"/>
                <w:i w:val="0"/>
                <w:sz w:val="18"/>
              </w:rPr>
              <w:t>NOPAT</w:t>
            </w:r>
          </w:p>
        </w:tc>
        <w:tc>
          <w:tcPr>
            <w:tcW w:type="dxa" w:w="1764"/>
          </w:tcPr>
          <w:p>
            <w:pPr>
              <w:jc w:val="right"/>
            </w:pPr>
            <w:r>
              <w:rPr>
                <w:b w:val="0"/>
                <w:i w:val="0"/>
                <w:sz w:val="18"/>
              </w:rPr>
              <w:t>15,065</w:t>
            </w:r>
          </w:p>
        </w:tc>
        <w:tc>
          <w:tcPr>
            <w:tcW w:type="dxa" w:w="1764"/>
          </w:tcPr>
          <w:p>
            <w:pPr>
              <w:jc w:val="right"/>
            </w:pPr>
            <w:r>
              <w:rPr>
                <w:b w:val="0"/>
                <w:i w:val="0"/>
                <w:sz w:val="18"/>
              </w:rPr>
              <w:t>16,571</w:t>
            </w:r>
          </w:p>
        </w:tc>
        <w:tc>
          <w:tcPr>
            <w:tcW w:type="dxa" w:w="1764"/>
          </w:tcPr>
          <w:p>
            <w:pPr>
              <w:jc w:val="right"/>
            </w:pPr>
            <w:r>
              <w:rPr>
                <w:b w:val="0"/>
                <w:i w:val="0"/>
                <w:sz w:val="18"/>
              </w:rPr>
              <w:t>17,897</w:t>
            </w:r>
          </w:p>
        </w:tc>
        <w:tc>
          <w:tcPr>
            <w:tcW w:type="dxa" w:w="1764"/>
          </w:tcPr>
          <w:p>
            <w:pPr>
              <w:jc w:val="right"/>
            </w:pPr>
            <w:r>
              <w:rPr>
                <w:b w:val="0"/>
                <w:i w:val="0"/>
                <w:sz w:val="18"/>
              </w:rPr>
              <w:t>19,150</w:t>
            </w:r>
          </w:p>
        </w:tc>
      </w:tr>
      <w:tr>
        <w:tc>
          <w:tcPr>
            <w:tcW w:type="dxa" w:w="3312"/>
          </w:tcPr>
          <w:p>
            <w:r>
              <w:rPr>
                <w:b w:val="0"/>
                <w:i w:val="0"/>
                <w:sz w:val="18"/>
              </w:rPr>
              <w:t>D&amp;A</w:t>
            </w:r>
          </w:p>
        </w:tc>
        <w:tc>
          <w:tcPr>
            <w:tcW w:type="dxa" w:w="1764"/>
          </w:tcPr>
          <w:p>
            <w:pPr>
              <w:jc w:val="right"/>
            </w:pPr>
            <w:r>
              <w:rPr>
                <w:b w:val="0"/>
                <w:i w:val="0"/>
                <w:sz w:val="18"/>
              </w:rPr>
              <w:t>4,977</w:t>
            </w:r>
          </w:p>
        </w:tc>
        <w:tc>
          <w:tcPr>
            <w:tcW w:type="dxa" w:w="1764"/>
          </w:tcPr>
          <w:p>
            <w:pPr>
              <w:jc w:val="right"/>
            </w:pPr>
            <w:r>
              <w:rPr>
                <w:b w:val="0"/>
                <w:i w:val="0"/>
                <w:sz w:val="18"/>
              </w:rPr>
              <w:t>5,475</w:t>
            </w:r>
          </w:p>
        </w:tc>
        <w:tc>
          <w:tcPr>
            <w:tcW w:type="dxa" w:w="1764"/>
          </w:tcPr>
          <w:p>
            <w:pPr>
              <w:jc w:val="right"/>
            </w:pPr>
            <w:r>
              <w:rPr>
                <w:b w:val="0"/>
                <w:i w:val="0"/>
                <w:sz w:val="18"/>
              </w:rPr>
              <w:t>5,913</w:t>
            </w:r>
          </w:p>
        </w:tc>
        <w:tc>
          <w:tcPr>
            <w:tcW w:type="dxa" w:w="1764"/>
          </w:tcPr>
          <w:p>
            <w:pPr>
              <w:jc w:val="right"/>
            </w:pPr>
            <w:r>
              <w:rPr>
                <w:b w:val="0"/>
                <w:i w:val="0"/>
                <w:sz w:val="18"/>
              </w:rPr>
              <w:t>6,327</w:t>
            </w:r>
          </w:p>
        </w:tc>
      </w:tr>
      <w:tr>
        <w:tc>
          <w:tcPr>
            <w:tcW w:type="dxa" w:w="3312"/>
          </w:tcPr>
          <w:p>
            <w:r>
              <w:rPr>
                <w:b w:val="0"/>
                <w:i w:val="0"/>
                <w:sz w:val="18"/>
              </w:rPr>
              <w:t>CapEx</w:t>
            </w:r>
          </w:p>
        </w:tc>
        <w:tc>
          <w:tcPr>
            <w:tcW w:type="dxa" w:w="1764"/>
          </w:tcPr>
          <w:p>
            <w:pPr>
              <w:jc w:val="right"/>
            </w:pPr>
            <w:r>
              <w:rPr>
                <w:b w:val="0"/>
                <w:i w:val="0"/>
                <w:sz w:val="18"/>
              </w:rPr>
              <w:t>23,511</w:t>
            </w:r>
          </w:p>
        </w:tc>
        <w:tc>
          <w:tcPr>
            <w:tcW w:type="dxa" w:w="1764"/>
          </w:tcPr>
          <w:p>
            <w:pPr>
              <w:jc w:val="right"/>
            </w:pPr>
            <w:r>
              <w:rPr>
                <w:b w:val="0"/>
                <w:i w:val="0"/>
                <w:sz w:val="18"/>
              </w:rPr>
              <w:t>23,114</w:t>
            </w:r>
          </w:p>
        </w:tc>
        <w:tc>
          <w:tcPr>
            <w:tcW w:type="dxa" w:w="1764"/>
          </w:tcPr>
          <w:p>
            <w:pPr>
              <w:jc w:val="right"/>
            </w:pPr>
            <w:r>
              <w:rPr>
                <w:b w:val="0"/>
                <w:i w:val="0"/>
                <w:sz w:val="18"/>
              </w:rPr>
              <w:t>21,995</w:t>
            </w:r>
          </w:p>
        </w:tc>
        <w:tc>
          <w:tcPr>
            <w:tcW w:type="dxa" w:w="1764"/>
          </w:tcPr>
          <w:p>
            <w:pPr>
              <w:jc w:val="right"/>
            </w:pPr>
            <w:r>
              <w:rPr>
                <w:b w:val="0"/>
                <w:i w:val="0"/>
                <w:sz w:val="18"/>
              </w:rPr>
              <w:t>20,358</w:t>
            </w:r>
          </w:p>
        </w:tc>
      </w:tr>
      <w:tr>
        <w:tc>
          <w:tcPr>
            <w:tcW w:type="dxa" w:w="3312"/>
          </w:tcPr>
          <w:p>
            <w:r>
              <w:rPr>
                <w:b w:val="0"/>
                <w:i w:val="0"/>
                <w:sz w:val="18"/>
              </w:rPr>
              <w:t>Free cash flow</w:t>
            </w:r>
          </w:p>
        </w:tc>
        <w:tc>
          <w:tcPr>
            <w:tcW w:type="dxa" w:w="1764"/>
          </w:tcPr>
          <w:p>
            <w:pPr>
              <w:jc w:val="right"/>
            </w:pPr>
            <w:r>
              <w:rPr>
                <w:b w:val="0"/>
                <w:i w:val="0"/>
                <w:sz w:val="18"/>
              </w:rPr>
              <w:t>(3,469)</w:t>
            </w:r>
          </w:p>
        </w:tc>
        <w:tc>
          <w:tcPr>
            <w:tcW w:type="dxa" w:w="1764"/>
          </w:tcPr>
          <w:p>
            <w:pPr>
              <w:jc w:val="right"/>
            </w:pPr>
            <w:r>
              <w:rPr>
                <w:b w:val="0"/>
                <w:i w:val="0"/>
                <w:sz w:val="18"/>
              </w:rPr>
              <w:t>(1,104)</w:t>
            </w:r>
          </w:p>
        </w:tc>
        <w:tc>
          <w:tcPr>
            <w:tcW w:type="dxa" w:w="1764"/>
          </w:tcPr>
          <w:p>
            <w:pPr>
              <w:jc w:val="right"/>
            </w:pPr>
            <w:r>
              <w:rPr>
                <w:b w:val="0"/>
                <w:i w:val="0"/>
                <w:sz w:val="18"/>
              </w:rPr>
              <w:t>1,783</w:t>
            </w:r>
          </w:p>
        </w:tc>
        <w:tc>
          <w:tcPr>
            <w:tcW w:type="dxa" w:w="1764"/>
          </w:tcPr>
          <w:p>
            <w:pPr>
              <w:jc w:val="right"/>
            </w:pPr>
            <w:r>
              <w:rPr>
                <w:b w:val="0"/>
                <w:i w:val="0"/>
                <w:sz w:val="18"/>
              </w:rPr>
              <w:t>5,088</w:t>
            </w:r>
          </w:p>
        </w:tc>
      </w:tr>
      <w:tr>
        <w:tc>
          <w:tcPr>
            <w:tcW w:type="dxa" w:w="3312"/>
          </w:tcPr>
          <w:p>
            <w:r>
              <w:rPr>
                <w:b w:val="0"/>
                <w:i w:val="0"/>
                <w:sz w:val="18"/>
              </w:rPr>
              <w:t>Net income (parent)</w:t>
            </w:r>
          </w:p>
        </w:tc>
        <w:tc>
          <w:tcPr>
            <w:tcW w:type="dxa" w:w="1764"/>
          </w:tcPr>
          <w:p>
            <w:pPr>
              <w:jc w:val="right"/>
            </w:pPr>
            <w:r>
              <w:rPr>
                <w:b w:val="0"/>
                <w:i w:val="0"/>
                <w:sz w:val="18"/>
              </w:rPr>
              <w:t>13,470</w:t>
            </w:r>
          </w:p>
        </w:tc>
        <w:tc>
          <w:tcPr>
            <w:tcW w:type="dxa" w:w="1764"/>
          </w:tcPr>
          <w:p>
            <w:pPr>
              <w:jc w:val="right"/>
            </w:pPr>
            <w:r>
              <w:rPr>
                <w:b w:val="0"/>
                <w:i w:val="0"/>
                <w:sz w:val="18"/>
              </w:rPr>
              <w:t>14,817</w:t>
            </w:r>
          </w:p>
        </w:tc>
        <w:tc>
          <w:tcPr>
            <w:tcW w:type="dxa" w:w="1764"/>
          </w:tcPr>
          <w:p>
            <w:pPr>
              <w:jc w:val="right"/>
            </w:pPr>
            <w:r>
              <w:rPr>
                <w:b w:val="0"/>
                <w:i w:val="0"/>
                <w:sz w:val="18"/>
              </w:rPr>
              <w:t>16,003</w:t>
            </w:r>
          </w:p>
        </w:tc>
        <w:tc>
          <w:tcPr>
            <w:tcW w:type="dxa" w:w="1764"/>
          </w:tcPr>
          <w:p>
            <w:pPr>
              <w:jc w:val="right"/>
            </w:pPr>
            <w:r>
              <w:rPr>
                <w:b w:val="0"/>
                <w:i w:val="0"/>
                <w:sz w:val="18"/>
              </w:rPr>
              <w:t>17,123</w:t>
            </w:r>
          </w:p>
        </w:tc>
      </w:tr>
      <w:tr>
        <w:tc>
          <w:tcPr>
            <w:tcW w:type="dxa" w:w="3312"/>
          </w:tcPr>
          <w:p>
            <w:r>
              <w:rPr>
                <w:b w:val="0"/>
                <w:i w:val="0"/>
                <w:sz w:val="18"/>
              </w:rPr>
              <w:t>EPS (₱)</w:t>
            </w:r>
          </w:p>
        </w:tc>
        <w:tc>
          <w:tcPr>
            <w:tcW w:type="dxa" w:w="1764"/>
          </w:tcPr>
          <w:p>
            <w:pPr>
              <w:jc w:val="right"/>
            </w:pPr>
            <w:r>
              <w:rPr>
                <w:b w:val="0"/>
                <w:i w:val="0"/>
                <w:sz w:val="18"/>
              </w:rPr>
              <w:t>5.19</w:t>
            </w:r>
          </w:p>
        </w:tc>
        <w:tc>
          <w:tcPr>
            <w:tcW w:type="dxa" w:w="1764"/>
          </w:tcPr>
          <w:p>
            <w:pPr>
              <w:jc w:val="right"/>
            </w:pPr>
            <w:r>
              <w:rPr>
                <w:b w:val="0"/>
                <w:i w:val="0"/>
                <w:sz w:val="18"/>
              </w:rPr>
              <w:t>5.71</w:t>
            </w:r>
          </w:p>
        </w:tc>
        <w:tc>
          <w:tcPr>
            <w:tcW w:type="dxa" w:w="1764"/>
          </w:tcPr>
          <w:p>
            <w:pPr>
              <w:jc w:val="right"/>
            </w:pPr>
            <w:r>
              <w:rPr>
                <w:b w:val="0"/>
                <w:i w:val="0"/>
                <w:sz w:val="18"/>
              </w:rPr>
              <w:t>6.16</w:t>
            </w:r>
          </w:p>
        </w:tc>
        <w:tc>
          <w:tcPr>
            <w:tcW w:type="dxa" w:w="1764"/>
          </w:tcPr>
          <w:p>
            <w:pPr>
              <w:jc w:val="right"/>
            </w:pPr>
            <w:r>
              <w:rPr>
                <w:b w:val="0"/>
                <w:i w:val="0"/>
                <w:sz w:val="18"/>
              </w:rPr>
              <w:t>6.59</w:t>
            </w:r>
          </w:p>
        </w:tc>
      </w:tr>
    </w:tbl>
    <w:p>
      <w:pPr>
        <w:spacing w:before="80" w:after="40"/>
      </w:pPr>
      <w:r>
        <w:rPr>
          <w:b w:val="0"/>
          <w:i w:val="0"/>
          <w:color w:val="595959"/>
          <w:sz w:val="16"/>
        </w:rPr>
        <w:t>2024E is FY2024 estimated from 9M-2024 actuals (annualized); 2025E–2027F are model forecasts off configurable assumptions. Figures are illustrative.</w:t>
      </w:r>
    </w:p>
    <w:p>
      <w:r>
        <w:drawing>
          <wp:inline xmlns:a="http://schemas.openxmlformats.org/drawingml/2006/main" xmlns:pic="http://schemas.openxmlformats.org/drawingml/2006/picture">
            <wp:extent cx="3840480" cy="2245465"/>
            <wp:docPr id="2" name="Picture 2"/>
            <wp:cNvGraphicFramePr>
              <a:graphicFrameLocks noChangeAspect="1"/>
            </wp:cNvGraphicFramePr>
            <a:graphic>
              <a:graphicData uri="http://schemas.openxmlformats.org/drawingml/2006/picture">
                <pic:pic>
                  <pic:nvPicPr>
                    <pic:cNvPr id="0" name="revenue_fcf.png"/>
                    <pic:cNvPicPr/>
                  </pic:nvPicPr>
                  <pic:blipFill>
                    <a:blip r:embed="rId10"/>
                    <a:stretch>
                      <a:fillRect/>
                    </a:stretch>
                  </pic:blipFill>
                  <pic:spPr>
                    <a:xfrm>
                      <a:off x="0" y="0"/>
                      <a:ext cx="3840480" cy="2245465"/>
                    </a:xfrm>
                    <a:prstGeom prst="rect"/>
                  </pic:spPr>
                </pic:pic>
              </a:graphicData>
            </a:graphic>
          </wp:inline>
        </w:drawing>
      </w:r>
    </w:p>
    <w:p>
      <w:r>
        <w:br w:type="page"/>
      </w:r>
    </w:p>
    <w:p>
      <w:pPr>
        <w:spacing w:before="200" w:after="80"/>
        <w:pBdr>
          <w:bottom w:val="single" w:sz="6" w:space="2" w:color="1F3864"/>
        </w:pBdr>
      </w:pPr>
      <w:r>
        <w:rPr>
          <w:b/>
          <w:i w:val="0"/>
          <w:color w:val="1F3864"/>
          <w:sz w:val="24"/>
        </w:rPr>
        <w:t>Rating definitions &amp; disclaimer</w:t>
      </w:r>
    </w:p>
    <w:p>
      <w:pPr>
        <w:spacing w:before="40" w:after="40"/>
      </w:pPr>
      <w:r>
        <w:rPr>
          <w:b/>
          <w:i w:val="0"/>
          <w:sz w:val="18"/>
        </w:rPr>
        <w:t>Ratings (12-month total return): BUY &gt; 10% · HOLD 0–10% · UNDERPERFORM &lt; 0%.</w:t>
      </w:r>
    </w:p>
    <w:p>
      <w:pPr>
        <w:spacing w:before="40" w:after="40"/>
      </w:pPr>
      <w:r>
        <w:rPr>
          <w:b w:val="0"/>
          <w:i w:val="0"/>
          <w:color w:val="595959"/>
          <w:sz w:val="17"/>
        </w:rPr>
        <w:t>This document is an automated draft produced by a demonstration research-automation pipeline. Financial figures are extracted from the company's PSE filing and validated for internal consistency; market data is as of the stated date; forecasts derive from configurable assumptions and are illustrative, not house views. The terminal value uses a standard perpetuity, an approximation for a partly finite concession. This is not investment advice, an offer, or a solicitation. Sources: company SEC Form 17-Q (Q3 2024); public market data.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