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i w:val="0"/>
                <w:color w:val="1F3864"/>
                <w:sz w:val="24"/>
              </w:rPr>
              <w:t>EQUITY RESEARCH</w:t>
            </w:r>
          </w:p>
        </w:tc>
        <w:tc>
          <w:tcPr>
            <w:tcW w:type="dxa" w:w="5256"/>
          </w:tcPr>
          <w:p>
            <w:pPr>
              <w:jc w:val="right"/>
            </w:pPr>
            <w:r>
              <w:rPr>
                <w:b w:val="0"/>
                <w:i w:val="0"/>
                <w:color w:val="595959"/>
                <w:sz w:val="18"/>
              </w:rPr>
              <w:t>Philippines · Utilities</w:t>
              <w:br/>
              <w:t>2024-11-14</w:t>
            </w:r>
          </w:p>
        </w:tc>
      </w:tr>
    </w:tbl>
    <w:p>
      <w:pPr>
        <w:spacing w:before="80" w:after="0"/>
      </w:pPr>
      <w:r>
        <w:rPr>
          <w:b/>
          <w:i w:val="0"/>
          <w:color w:val="1F3864"/>
          <w:sz w:val="36"/>
        </w:rPr>
        <w:t>Manila Water Company, Inc.</w:t>
      </w:r>
    </w:p>
    <w:p>
      <w:pPr>
        <w:spacing w:before="40" w:after="120"/>
      </w:pPr>
      <w:r>
        <w:rPr>
          <w:b w:val="0"/>
          <w:i w:val="0"/>
          <w:color w:val="595959"/>
          <w:sz w:val="19"/>
        </w:rPr>
        <w:t>PSE: MWC   ·   Bloomberg: MWC PM   ·   Regulated water utility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24"/>
        <w:gridCol w:w="3168"/>
      </w:tblGrid>
      <w:tr>
        <w:tc>
          <w:tcPr>
            <w:tcW w:type="dxa" w:w="5256"/>
          </w:tcPr>
          <w:p>
            <w:r>
              <w:rPr>
                <w:b/>
                <w:i w:val="0"/>
                <w:color w:val="1E7A34"/>
                <w:sz w:val="40"/>
              </w:rPr>
              <w:t>BUY</w:t>
            </w:r>
            <w:r>
              <w:rPr>
                <w:b/>
                <w:i w:val="0"/>
                <w:sz w:val="26"/>
              </w:rPr>
              <w:t xml:space="preserve">   Target ₱27.35</w:t>
            </w:r>
            <w:r>
              <w:rPr>
                <w:b/>
                <w:i w:val="0"/>
                <w:color w:val="1E7A34"/>
                <w:sz w:val="24"/>
              </w:rPr>
              <w:t xml:space="preserve">   (+22%)</w:t>
            </w:r>
          </w:p>
          <w:p>
            <w:pPr>
              <w:spacing w:after="120"/>
            </w:pPr>
            <w:r>
              <w:rPr>
                <w:b/>
                <w:i w:val="0"/>
                <w:color w:val="1F3864"/>
                <w:sz w:val="21"/>
              </w:rPr>
              <w:t>Investment thesis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Robust earnings momentum — </w:t>
            </w:r>
            <w:r>
              <w:rPr>
                <w:b w:val="0"/>
                <w:i w:val="0"/>
                <w:sz w:val="19"/>
              </w:rPr>
              <w:t>9M-2024 net income attributable to parent rose to ₱10.10bn from ₱7.26bn, supported by a 20% average tariff increase and 2% billed volume growth at the Parent Company.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Diversified revenue base — </w:t>
            </w:r>
            <w:r>
              <w:rPr>
                <w:b w:val="0"/>
                <w:i w:val="0"/>
                <w:sz w:val="19"/>
              </w:rPr>
              <w:t>Non-East Zone revenues grew 23% on 6% billed volume growth and 20% tariff increases across several business units, complementing the core Metro Manila East Zone concession and overseas subsidiaries.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Attractive valuation — </w:t>
            </w:r>
            <w:r>
              <w:rPr>
                <w:b w:val="0"/>
                <w:i w:val="0"/>
                <w:sz w:val="19"/>
              </w:rPr>
              <w:t>Our DCF (WACC 8.4%, terminal growth 2.5%) yields a fair value of ₱27.35 versus a current price of ₱22.36, implying roughly 22% upside.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Visible tariff pathway — </w:t>
            </w:r>
            <w:r>
              <w:rPr>
                <w:b w:val="0"/>
                <w:i w:val="0"/>
                <w:sz w:val="19"/>
              </w:rPr>
              <w:t>Scheduled tariff adjustments from 2023 to 2027, an indicative 2028 adjustment for the Wawa Bulk Water Supply Project, and a rising environmental charge underpin medium-term revenue visibility.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Ownership transition — </w:t>
            </w:r>
            <w:r>
              <w:rPr>
                <w:b w:val="0"/>
                <w:i w:val="0"/>
                <w:sz w:val="19"/>
              </w:rPr>
              <w:t>In 2024 the Ayala group sold its entire stake to Enrique Razon's Trident Water, which now holds majority control; Ayala is no longer a related party.</w:t>
            </w:r>
          </w:p>
          <w:p>
            <w:pPr>
              <w:pStyle w:val="ListBullet"/>
              <w:spacing w:after="60"/>
            </w:pPr>
            <w:r>
              <w:rPr>
                <w:b/>
                <w:i w:val="0"/>
                <w:sz w:val="19"/>
              </w:rPr>
              <w:t xml:space="preserve">Concession extension catalyst — </w:t>
            </w:r>
            <w:r>
              <w:rPr>
                <w:b w:val="0"/>
                <w:i w:val="0"/>
                <w:sz w:val="19"/>
              </w:rPr>
              <w:t>The application to extend the Revised Concession Agreement term to 2047, aligning with the Franchise term, would lengthen the asset's contracted life and support long-term cash flow visibility.</w:t>
            </w:r>
          </w:p>
        </w:tc>
        <w:tc>
          <w:tcPr>
            <w:tcW w:type="dxa" w:w="5256"/>
            <w:shd w:val="clear" w:fill="EEF1F8"/>
          </w:tcPr>
          <w:p>
            <w:r>
              <w:rPr>
                <w:b/>
                <w:i w:val="0"/>
                <w:color w:val="1F3864"/>
                <w:sz w:val="20"/>
              </w:rPr>
              <w:t>Company data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Price (₱): </w:t>
            </w:r>
            <w:r>
              <w:rPr>
                <w:b/>
                <w:i w:val="0"/>
                <w:sz w:val="18"/>
              </w:rPr>
              <w:t>22.36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Fair value (₱): </w:t>
            </w:r>
            <w:r>
              <w:rPr>
                <w:b/>
                <w:i w:val="0"/>
                <w:sz w:val="18"/>
              </w:rPr>
              <w:t>27.35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Upside: </w:t>
            </w:r>
            <w:r>
              <w:rPr>
                <w:b/>
                <w:i w:val="0"/>
                <w:sz w:val="18"/>
              </w:rPr>
              <w:t>+22%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Market cap (₱bn): </w:t>
            </w:r>
            <w:r>
              <w:rPr>
                <w:b/>
                <w:i w:val="0"/>
                <w:sz w:val="18"/>
              </w:rPr>
              <w:t>58.1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52-wk range (₱): </w:t>
            </w:r>
            <w:r>
              <w:rPr>
                <w:b/>
                <w:i w:val="0"/>
                <w:sz w:val="18"/>
              </w:rPr>
              <w:t>16.5–27.0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Shares (m): </w:t>
            </w:r>
            <w:r>
              <w:rPr>
                <w:b/>
                <w:i w:val="0"/>
                <w:sz w:val="18"/>
              </w:rPr>
              <w:t>2,597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Beta: </w:t>
            </w:r>
            <w:r>
              <w:rPr>
                <w:b/>
                <w:i w:val="0"/>
                <w:sz w:val="18"/>
              </w:rPr>
              <w:t>0.46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WACC: </w:t>
            </w:r>
            <w:r>
              <w:rPr>
                <w:b/>
                <w:i w:val="0"/>
                <w:sz w:val="18"/>
              </w:rPr>
              <w:t>8.4%</w:t>
            </w:r>
          </w:p>
          <w:p>
            <w:pPr>
              <w:spacing w:before="80"/>
            </w:pPr>
            <w:r>
              <w:rPr>
                <w:b/>
                <w:i w:val="0"/>
                <w:color w:val="1F3864"/>
                <w:sz w:val="20"/>
              </w:rPr>
              <w:t>Major shareholders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Trident Water (E. Razon): </w:t>
            </w:r>
            <w:r>
              <w:rPr>
                <w:b/>
                <w:i w:val="0"/>
                <w:sz w:val="18"/>
              </w:rPr>
              <w:t>56.9%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Public float: </w:t>
            </w:r>
            <w:r>
              <w:rPr>
                <w:b/>
                <w:i w:val="0"/>
                <w:sz w:val="18"/>
              </w:rPr>
              <w:t>~43%</w:t>
            </w:r>
          </w:p>
          <w:p>
            <w:pPr>
              <w:spacing w:after="20"/>
            </w:pPr>
            <w:r>
              <w:rPr>
                <w:b w:val="0"/>
                <w:i w:val="0"/>
                <w:color w:val="595959"/>
                <w:sz w:val="18"/>
              </w:rPr>
              <w:t xml:space="preserve">Ayala group: </w:t>
            </w:r>
            <w:r>
              <w:rPr>
                <w:b/>
                <w:i w:val="0"/>
                <w:sz w:val="18"/>
              </w:rPr>
              <w:t>preferred only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3312"/>
            <w:shd w:val="clear" w:fill="1F3864"/>
          </w:tcPr>
          <w:p>
            <w:r>
              <w:rPr>
                <w:b/>
                <w:i w:val="0"/>
                <w:color w:val="FFFFFF"/>
                <w:sz w:val="18"/>
              </w:rPr>
              <w:t>₱m unless stated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2024E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2025E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2026E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2027E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Revenue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36,729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40,402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43,635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46,689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Net income (parent)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10,608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11,668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12,602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13,484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EPS (₱)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3.47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3.88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4.24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4.58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EPS growth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+12%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+9%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+8%</w:t>
            </w:r>
          </w:p>
        </w:tc>
      </w:tr>
    </w:tbl>
    <w:p>
      <w:r>
        <w:br w:type="page"/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Key highlights</w:t>
      </w:r>
    </w:p>
    <w:p>
      <w:pPr>
        <w:spacing w:before="120" w:after="60"/>
      </w:pPr>
      <w:r>
        <w:rPr>
          <w:b/>
          <w:i w:val="0"/>
          <w:color w:val="1F3864"/>
          <w:sz w:val="21"/>
        </w:rPr>
        <w:t>Interim results (₱m)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3312"/>
            <w:shd w:val="clear" w:fill="1F3864"/>
          </w:tcPr>
          <w:p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Q3'24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Q3'23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9M'24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9M'23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Revenue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9,193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7,753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27,547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23,144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Gross profit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6,412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5,119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19,097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15,487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Operating income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4,982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3,851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15,065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11,553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Pre-tax income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4,356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3,123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13,708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9,703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Net income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3,329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2,305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10,489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7,524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 xml:space="preserve">  of which: to parent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3,188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2,214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10,103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7,262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EPS (₱)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1.08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0.67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3.43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2.21</w:t>
            </w:r>
          </w:p>
        </w:tc>
      </w:tr>
    </w:tbl>
    <w:p>
      <w:pPr>
        <w:spacing w:before="160" w:after="60"/>
      </w:pPr>
      <w:r>
        <w:rPr>
          <w:b/>
          <w:i w:val="0"/>
          <w:color w:val="1F3864"/>
          <w:sz w:val="21"/>
        </w:rPr>
        <w:t>Valuation summary (DCF)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744"/>
            <w:shd w:val="clear" w:fill="1F3864"/>
          </w:tcPr>
          <w:p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662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₱m / x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Enterprise value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167,909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Less: net debt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(94,514)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Less: NCI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(1,973)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Less: preferred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(400)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Equity value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71,021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Fair value / share (₱)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₱27.35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WACC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8.4%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Terminal growth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2.5%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i w:val="0"/>
                <w:sz w:val="18"/>
              </w:rPr>
              <w:t>Beta</w:t>
            </w:r>
          </w:p>
        </w:tc>
        <w:tc>
          <w:tcPr>
            <w:tcW w:type="dxa" w:w="662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0.46</w:t>
            </w:r>
          </w:p>
        </w:tc>
      </w:tr>
    </w:tbl>
    <w:p>
      <w:pPr>
        <w:spacing w:before="80" w:after="40"/>
      </w:pPr>
      <w:r>
        <w:rPr>
          <w:b w:val="0"/>
          <w:i w:val="0"/>
          <w:color w:val="595959"/>
          <w:sz w:val="16"/>
        </w:rPr>
        <w:t>Coverage initiation — no prior estimates shown for a previous-vs-current comparison.</w:t>
      </w:r>
    </w:p>
    <w:p>
      <w:r>
        <w:drawing>
          <wp:inline xmlns:a="http://schemas.openxmlformats.org/drawingml/2006/main" xmlns:pic="http://schemas.openxmlformats.org/drawingml/2006/picture">
            <wp:extent cx="2926080" cy="1516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uation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516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Earnings recap</w:t>
      </w:r>
    </w:p>
    <w:p>
      <w:pPr>
        <w:spacing w:before="40" w:after="40"/>
      </w:pPr>
      <w:r>
        <w:rPr>
          <w:b w:val="0"/>
          <w:i w:val="0"/>
          <w:sz w:val="20"/>
        </w:rPr>
        <w:t>For 9M-2024, Manila Water reported revenue of ₱27.5bn, up from ₱23.1bn, while net income attributable to parent rose to ₱10.10bn from ₱7.26bn, yielding 9M EPS of ₱3.43. Q3-2024 net income to parent reached ₱3.19bn versus ₱2.21bn. Growth was driven by a 20% Parent Company tariff increase, 2% billed volume growth, and a 23% rise in Non-East Zone revenues, partly offset by higher personnel, premises, and other operating costs.</w:t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Sector context</w:t>
      </w:r>
    </w:p>
    <w:p>
      <w:pPr>
        <w:spacing w:before="40" w:after="40"/>
      </w:pPr>
      <w:r>
        <w:rPr>
          <w:b w:val="0"/>
          <w:i w:val="0"/>
          <w:sz w:val="20"/>
        </w:rPr>
        <w:t>Philippine water utilities operate under long-term concession and franchise frameworks with periodic regulator-approved tariff adjustments, providing relatively stable, inflation-linked cash flows. Sector returns hinge on capital-intensive investment in supply security, sewerage expansion, and service coverage. Operators face exposure to weather variability, including El Niño-driven supply risk, and to evolving regulatory and environmental compliance obligations across both metropolitan and provincial service areas.</w:t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Outlook</w:t>
      </w:r>
    </w:p>
    <w:p>
      <w:pPr>
        <w:spacing w:before="40" w:after="40"/>
      </w:pPr>
      <w:r>
        <w:rPr>
          <w:b w:val="0"/>
          <w:i w:val="0"/>
          <w:sz w:val="20"/>
        </w:rPr>
        <w:t>We expect continued earnings growth, underpinned by scheduled tariff adjustments through 2027 and an indicative January 2028 adjustment for the Wawa Bulk Water Supply Project. The environmental charge rises from 25% to 30% from January 2026, with a sewer charge increase contingent on attaining 30% sewer coverage by end-2025. Capital expenditures will be financed by internally generated funds and debt. The proposed concession extension to 2047 represents a key structural catalyst.</w:t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Recent developments (live, as of 2026-06-09)</w:t>
      </w:r>
    </w:p>
    <w:p>
      <w:pPr>
        <w:pStyle w:val="ListBullet"/>
      </w:pPr>
      <w:r>
        <w:rPr>
          <w:b w:val="0"/>
          <w:i w:val="0"/>
          <w:sz w:val="19"/>
        </w:rPr>
        <w:t>Manila Water reported a net income of "15.8 billion in 2025, marking a 51% increase (GMA Network).</w:t>
      </w:r>
    </w:p>
    <w:p>
      <w:pPr>
        <w:pStyle w:val="ListBullet"/>
      </w:pPr>
      <w:r>
        <w:rPr>
          <w:b w:val="0"/>
          <w:i w:val="0"/>
          <w:sz w:val="19"/>
        </w:rPr>
        <w:t>The company has bolstered alternative supply sources in anticipation of a severe El Ni</w:t>
        <w:br/>
        <w:br/>
        <w:t>o (Manila Standard).</w:t>
      </w:r>
    </w:p>
    <w:p>
      <w:pPr>
        <w:pStyle w:val="ListBullet"/>
      </w:pPr>
      <w:r>
        <w:rPr>
          <w:b w:val="0"/>
          <w:i w:val="0"/>
          <w:sz w:val="19"/>
        </w:rPr>
        <w:t>The 60-Million-Liters-Per-Day Aglipay Sewage Treatment Plant was inaugurated by President Ferdinand R. Marcos Jr. (pbbm.com.ph).</w:t>
      </w:r>
    </w:p>
    <w:p>
      <w:pPr>
        <w:pStyle w:val="ListBullet"/>
      </w:pPr>
      <w:r>
        <w:rPr>
          <w:b w:val="0"/>
          <w:i w:val="0"/>
          <w:sz w:val="19"/>
        </w:rPr>
        <w:t>Manila Water has switched to 100% renewable energy for its retail supply (Inquirer.net).</w:t>
      </w:r>
    </w:p>
    <w:p>
      <w:pPr>
        <w:pStyle w:val="ListBullet"/>
      </w:pPr>
      <w:r>
        <w:rPr>
          <w:b w:val="0"/>
          <w:i w:val="0"/>
          <w:sz w:val="19"/>
        </w:rPr>
        <w:t>The PPP Center conducted a knowledge session for Manila Water on the new PPP Code and its Implementing Rules and Regulations (PPP Center of the Philippines).</w:t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Key risks</w:t>
      </w:r>
    </w:p>
    <w:p>
      <w:pPr>
        <w:pStyle w:val="ListBullet"/>
      </w:pPr>
      <w:r>
        <w:rPr>
          <w:b/>
          <w:i w:val="0"/>
          <w:sz w:val="19"/>
        </w:rPr>
        <w:t xml:space="preserve">Regulatory risk — </w:t>
      </w:r>
      <w:r>
        <w:rPr>
          <w:b w:val="0"/>
          <w:i w:val="0"/>
          <w:sz w:val="19"/>
        </w:rPr>
        <w:t>Tariff adjustments and the proposed concession extension to 2047 remain subject to regulatory approval, creating uncertainty over timing and quantum.</w:t>
      </w:r>
    </w:p>
    <w:p>
      <w:pPr>
        <w:pStyle w:val="ListBullet"/>
      </w:pPr>
      <w:r>
        <w:rPr>
          <w:b/>
          <w:i w:val="0"/>
          <w:sz w:val="19"/>
        </w:rPr>
        <w:t xml:space="preserve">Supply and weather risk — </w:t>
      </w:r>
      <w:r>
        <w:rPr>
          <w:b w:val="0"/>
          <w:i w:val="0"/>
          <w:sz w:val="19"/>
        </w:rPr>
        <w:t>Severe El Niño conditions could strain raw water availability despite efforts to bolster alternative supply sources.</w:t>
      </w:r>
    </w:p>
    <w:p>
      <w:pPr>
        <w:pStyle w:val="ListBullet"/>
      </w:pPr>
      <w:r>
        <w:rPr>
          <w:b/>
          <w:i w:val="0"/>
          <w:sz w:val="19"/>
        </w:rPr>
        <w:t xml:space="preserve">Cost inflation — </w:t>
      </w:r>
      <w:r>
        <w:rPr>
          <w:b w:val="0"/>
          <w:i w:val="0"/>
          <w:sz w:val="19"/>
        </w:rPr>
        <w:t>Rising personnel, premises, regulatory, and management fee costs could compress margins if not offset by tariff and volume growth.</w:t>
      </w:r>
    </w:p>
    <w:p>
      <w:pPr>
        <w:pStyle w:val="ListBullet"/>
      </w:pPr>
      <w:r>
        <w:rPr>
          <w:b/>
          <w:i w:val="0"/>
          <w:sz w:val="19"/>
        </w:rPr>
        <w:t xml:space="preserve">Ownership transition risk — </w:t>
      </w:r>
      <w:r>
        <w:rPr>
          <w:b w:val="0"/>
          <w:i w:val="0"/>
          <w:sz w:val="19"/>
        </w:rPr>
        <w:t>The change in majority control to Trident Water introduces uncertainty around strategy, governance, and capital allocation.</w:t>
      </w:r>
    </w:p>
    <w:p>
      <w:r>
        <w:br w:type="page"/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Financial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3312"/>
            <w:shd w:val="clear" w:fill="1F3864"/>
          </w:tcPr>
          <w:p>
            <w:r>
              <w:rPr>
                <w:b/>
                <w:i w:val="0"/>
                <w:color w:val="FFFFFF"/>
                <w:sz w:val="18"/>
              </w:rPr>
              <w:t>₱m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2024E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2025E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2026E</w:t>
            </w:r>
          </w:p>
        </w:tc>
        <w:tc>
          <w:tcPr>
            <w:tcW w:type="dxa" w:w="1764"/>
            <w:shd w:val="clear" w:fill="1F3864"/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8"/>
              </w:rPr>
              <w:t>2027E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Revenue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36,729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40,402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43,635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46,689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EBIT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20,087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22,095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23,863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25,533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NOPAT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15,065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16,571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17,897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19,150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D&amp;A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4,977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5,475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5,913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6,327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CapEx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23,511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23,114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21,995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20,358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Free cash flow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(3,469)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(1,104)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1,783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5,088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Net income (parent)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10,608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11,668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12,602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13,484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i w:val="0"/>
                <w:sz w:val="18"/>
              </w:rPr>
              <w:t>EPS (₱)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3.47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3.88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4.24</w:t>
            </w:r>
          </w:p>
        </w:tc>
        <w:tc>
          <w:tcPr>
            <w:tcW w:type="dxa" w:w="1764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4.58</w:t>
            </w:r>
          </w:p>
        </w:tc>
      </w:tr>
    </w:tbl>
    <w:p>
      <w:pPr>
        <w:spacing w:before="80" w:after="40"/>
      </w:pPr>
      <w:r>
        <w:rPr>
          <w:b w:val="0"/>
          <w:i w:val="0"/>
          <w:color w:val="595959"/>
          <w:sz w:val="16"/>
        </w:rPr>
        <w:t>2024E is FY2024 estimated from 9M-2024 actuals (annualized); 2025E–2027F are model forecasts off configurable assumptions. Figures are illustrative.</w:t>
      </w:r>
    </w:p>
    <w:p>
      <w:r>
        <w:drawing>
          <wp:inline xmlns:a="http://schemas.openxmlformats.org/drawingml/2006/main" xmlns:pic="http://schemas.openxmlformats.org/drawingml/2006/picture">
            <wp:extent cx="3840480" cy="2245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enue_fc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24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80"/>
        <w:pBdr>
          <w:bottom w:val="single" w:sz="6" w:space="2" w:color="1F3864"/>
        </w:pBdr>
      </w:pPr>
      <w:r>
        <w:rPr>
          <w:b/>
          <w:i w:val="0"/>
          <w:color w:val="1F3864"/>
          <w:sz w:val="24"/>
        </w:rPr>
        <w:t>Rating definitions &amp; disclaimer</w:t>
      </w:r>
    </w:p>
    <w:p>
      <w:pPr>
        <w:spacing w:before="40" w:after="40"/>
      </w:pPr>
      <w:r>
        <w:rPr>
          <w:b/>
          <w:i w:val="0"/>
          <w:sz w:val="18"/>
        </w:rPr>
        <w:t>Ratings (12-month total return): BUY &gt; 10% · HOLD 0–10% · UNDERPERFORM &lt; 0%.</w:t>
      </w:r>
    </w:p>
    <w:p>
      <w:pPr>
        <w:spacing w:before="40" w:after="40"/>
      </w:pPr>
      <w:r>
        <w:rPr>
          <w:b w:val="0"/>
          <w:i w:val="0"/>
          <w:color w:val="595959"/>
          <w:sz w:val="17"/>
        </w:rPr>
        <w:t>This document is an automated draft produced by a demonstration research-automation pipeline. Financial figures are extracted from the company's PSE filing and validated for internal consistency; market data is as of the stated date; forecasts derive from configurable assumptions and are illustrative, not house views. The terminal value uses a standard perpetuity, an approximation for a partly finite concession. This is not investment advice, an offer, or a solicitation. Sources: company SEC Form 17-Q (Q3 2024); public market data.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