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64F4" w:rsidRDefault="003D20E6">
      <w:pPr>
        <w:pStyle w:val="ARTICLETITLE"/>
        <w:spacing w:after="120"/>
        <w:rPr>
          <w:color w:val="000000" w:themeColor="text1"/>
        </w:rPr>
      </w:pPr>
      <w:r>
        <w:rPr>
          <w:color w:val="000000"/>
        </w:rPr>
        <w:t>Design Patterns</w:t>
      </w:r>
    </w:p>
    <w:p w:rsidR="003410C8" w:rsidRDefault="003410C8">
      <w:pPr>
        <w:pStyle w:val="ARTICLETITLE"/>
        <w:spacing w:after="120"/>
        <w:rPr>
          <w:color w:val="000000"/>
        </w:rPr>
      </w:pPr>
      <w:r w:rsidRPr="00B23D4B">
        <w:rPr>
          <w:color w:val="000000" w:themeColor="text1"/>
        </w:rPr>
        <w:t xml:space="preserve">(revised </w:t>
      </w:r>
      <w:r w:rsidR="00887762" w:rsidRPr="00B23D4B">
        <w:rPr>
          <w:color w:val="000000" w:themeColor="text1"/>
        </w:rPr>
        <w:t>November 2012</w:t>
      </w:r>
      <w:r>
        <w:rPr>
          <w:color w:val="000000"/>
        </w:rPr>
        <w:t>)</w:t>
      </w:r>
    </w:p>
    <w:p w:rsidR="003410C8" w:rsidRDefault="003410C8">
      <w:pPr>
        <w:pStyle w:val="AUTHOR"/>
        <w:spacing w:before="80" w:after="360"/>
        <w:rPr>
          <w:color w:val="000000"/>
          <w:sz w:val="24"/>
        </w:rPr>
      </w:pPr>
      <w:r>
        <w:rPr>
          <w:color w:val="000000"/>
        </w:rPr>
        <w:t xml:space="preserve">First A. Author, Second B. Author Jr., and Third C. Author, </w:t>
      </w:r>
      <w:r>
        <w:rPr>
          <w:rStyle w:val="MemberType"/>
          <w:rFonts w:ascii="Helvetica" w:hAnsi="Helvetica"/>
          <w:color w:val="000000"/>
        </w:rPr>
        <w:t>Member, IEEE</w:t>
      </w:r>
    </w:p>
    <w:p w:rsidR="003410C8" w:rsidRDefault="003410C8">
      <w:pPr>
        <w:pStyle w:val="ABSTRACT"/>
        <w:rPr>
          <w:color w:val="000000"/>
        </w:rPr>
      </w:pPr>
      <w:r>
        <w:rPr>
          <w:b/>
          <w:color w:val="000000"/>
        </w:rPr>
        <w:t>Abstract</w:t>
      </w:r>
      <w:r>
        <w:rPr>
          <w:color w:val="000000"/>
        </w:rPr>
        <w:t>—</w:t>
      </w:r>
      <w:r w:rsidR="008F2379">
        <w:rPr>
          <w:color w:val="000000"/>
        </w:rPr>
        <w:t xml:space="preserve">The aim of this paper is to examine the usage of patterns and </w:t>
      </w:r>
      <w:proofErr w:type="spellStart"/>
      <w:r w:rsidR="008F2379">
        <w:rPr>
          <w:color w:val="000000"/>
        </w:rPr>
        <w:t>anti patterns</w:t>
      </w:r>
      <w:proofErr w:type="spellEnd"/>
      <w:r w:rsidR="008F2379">
        <w:rPr>
          <w:color w:val="000000"/>
        </w:rPr>
        <w:t xml:space="preserve"> in software design</w:t>
      </w:r>
      <w:r w:rsidR="003F6723">
        <w:rPr>
          <w:color w:val="000000"/>
        </w:rPr>
        <w:t>. Throughout extensive research of the software development life</w:t>
      </w:r>
      <w:r w:rsidR="000F6C60">
        <w:rPr>
          <w:color w:val="000000"/>
        </w:rPr>
        <w:t xml:space="preserve">-cycle determination of how to implement patterns and stray away from anti-patterns will be looked at. In order to understand the various software patterns used in modern society, consideration for the history of patterns and anti-patterns will investigated. It is important to note that for all software design processes the methods and patterns used in this paper will not always be applicable and </w:t>
      </w:r>
      <w:r w:rsidR="00367128">
        <w:rPr>
          <w:color w:val="000000"/>
        </w:rPr>
        <w:t>a strong fundamental understanding of software design and program characteristics are needed to properly choose a pattern. A look at personal experiences in software development will be explored alongside a multitude of patterns and anti-patterns to help determine their proper usage.</w:t>
      </w:r>
    </w:p>
    <w:p w:rsidR="003410C8" w:rsidRDefault="003410C8">
      <w:pPr>
        <w:pStyle w:val="PARAGRAPHnoindent"/>
        <w:spacing w:before="120"/>
        <w:jc w:val="center"/>
        <w:rPr>
          <w:color w:val="000000"/>
        </w:rPr>
      </w:pPr>
      <w:r>
        <w:rPr>
          <w:color w:val="000000"/>
        </w:rPr>
        <w:t>——————————</w:t>
      </w:r>
      <w:r>
        <w:rPr>
          <w:rFonts w:ascii="Times New Roman" w:hAnsi="Times New Roman"/>
          <w:color w:val="000000"/>
          <w:position w:val="-2"/>
        </w:rPr>
        <w:t xml:space="preserve">   </w:t>
      </w:r>
      <w:r>
        <w:rPr>
          <w:rFonts w:ascii="Wingdings" w:hAnsi="Wingdings"/>
          <w:color w:val="000000"/>
          <w:position w:val="-2"/>
        </w:rPr>
        <w:sym w:font="Wingdings" w:char="F075"/>
      </w:r>
      <w:r>
        <w:rPr>
          <w:rFonts w:ascii="Times New Roman" w:hAnsi="Times New Roman"/>
          <w:color w:val="000000"/>
          <w:position w:val="-2"/>
        </w:rPr>
        <w:t xml:space="preserve">   </w:t>
      </w:r>
      <w:r>
        <w:rPr>
          <w:color w:val="000000"/>
        </w:rPr>
        <w:t>——————————</w:t>
      </w:r>
    </w:p>
    <w:p w:rsidR="00FF2DA4" w:rsidRPr="00FF2DA4" w:rsidRDefault="003410C8" w:rsidP="00FF2DA4">
      <w:pPr>
        <w:pStyle w:val="Heading1"/>
        <w:spacing w:before="200"/>
        <w:rPr>
          <w:color w:val="000000"/>
        </w:rPr>
        <w:sectPr w:rsidR="00FF2DA4" w:rsidRPr="00FF2DA4" w:rsidSect="0069250A">
          <w:headerReference w:type="even" r:id="rId8"/>
          <w:headerReference w:type="default" r:id="rId9"/>
          <w:footerReference w:type="even" r:id="rId10"/>
          <w:footerReference w:type="default" r:id="rId11"/>
          <w:headerReference w:type="first" r:id="rId12"/>
          <w:footerReference w:type="first" r:id="rId13"/>
          <w:pgSz w:w="11340" w:h="15480" w:code="1"/>
          <w:pgMar w:top="1195" w:right="605" w:bottom="360" w:left="720" w:header="605" w:footer="72" w:gutter="0"/>
          <w:cols w:space="240"/>
          <w:titlePg/>
        </w:sectPr>
      </w:pPr>
      <w:r>
        <w:rPr>
          <w:color w:val="000000"/>
        </w:rPr>
        <w:t>1</w:t>
      </w:r>
      <w:r>
        <w:rPr>
          <w:color w:val="000000"/>
        </w:rPr>
        <w:tab/>
        <w:t>Introduction</w:t>
      </w:r>
    </w:p>
    <w:p w:rsidR="00FF2DA4" w:rsidRDefault="00FF2DA4" w:rsidP="00FF2DA4">
      <w:pPr>
        <w:pStyle w:val="Heading1"/>
        <w:ind w:firstLine="400"/>
        <w:rPr>
          <w:rFonts w:ascii="Palatino" w:hAnsi="Palatino"/>
          <w:b w:val="0"/>
          <w:smallCaps w:val="0"/>
          <w:color w:val="000000"/>
          <w:spacing w:val="-2"/>
          <w:kern w:val="0"/>
          <w:position w:val="-4"/>
          <w:sz w:val="19"/>
          <w:szCs w:val="19"/>
        </w:rPr>
      </w:pPr>
      <w:r w:rsidRPr="00FF2DA4">
        <w:rPr>
          <w:rFonts w:ascii="Palatino" w:hAnsi="Palatino"/>
          <w:b w:val="0"/>
          <w:smallCaps w:val="0"/>
          <w:color w:val="000000"/>
          <w:spacing w:val="-2"/>
          <w:kern w:val="0"/>
          <w:position w:val="-4"/>
          <w:sz w:val="19"/>
          <w:szCs w:val="19"/>
        </w:rPr>
        <w:t xml:space="preserve">Throughout the report the strengths and weaknesses of a multitude of design patterns will be analyzed as well as various anti-patterns techniques which can be counter-intuitive to the efficiency of a system. This report will dive deep into the pattern designs used in various applications and why some patterns are better or more efficient than others, anti-patterns will be looked at in contrast of what not to do when designing. Examination of how design patterns have changed over the years will be looked at, as well as how some patterns have become discontinued while others have flourished. Determining what pattern is appropriate in a given situation will be looked at and how to determine what pattern is most applicable in fundamental application design. Lastly, the paper will look over finding anti-patterns in any application and understanding how to fix </w:t>
      </w:r>
      <w:r w:rsidRPr="00FF2DA4">
        <w:rPr>
          <w:rFonts w:ascii="Palatino" w:hAnsi="Palatino"/>
          <w:b w:val="0"/>
          <w:smallCaps w:val="0"/>
          <w:color w:val="000000"/>
          <w:spacing w:val="-2"/>
          <w:kern w:val="0"/>
          <w:position w:val="-4"/>
          <w:sz w:val="19"/>
          <w:szCs w:val="19"/>
        </w:rPr>
        <w:t>these patterns</w:t>
      </w:r>
      <w:r w:rsidRPr="00FF2DA4">
        <w:rPr>
          <w:rFonts w:ascii="Palatino" w:hAnsi="Palatino"/>
          <w:b w:val="0"/>
          <w:smallCaps w:val="0"/>
          <w:color w:val="000000"/>
          <w:spacing w:val="-2"/>
          <w:kern w:val="0"/>
          <w:position w:val="-4"/>
          <w:sz w:val="19"/>
          <w:szCs w:val="19"/>
        </w:rPr>
        <w:t xml:space="preserve"> to make an application not only more efficient but more readable</w:t>
      </w:r>
      <w:r>
        <w:rPr>
          <w:rFonts w:ascii="Palatino" w:hAnsi="Palatino"/>
          <w:b w:val="0"/>
          <w:smallCaps w:val="0"/>
          <w:color w:val="000000"/>
          <w:spacing w:val="-2"/>
          <w:kern w:val="0"/>
          <w:position w:val="-4"/>
          <w:sz w:val="19"/>
          <w:szCs w:val="19"/>
        </w:rPr>
        <w:t xml:space="preserve"> </w:t>
      </w:r>
      <w:r w:rsidRPr="00FF2DA4">
        <w:rPr>
          <w:rFonts w:ascii="Palatino" w:hAnsi="Palatino"/>
          <w:b w:val="0"/>
          <w:smallCaps w:val="0"/>
          <w:color w:val="000000"/>
          <w:spacing w:val="-2"/>
          <w:kern w:val="0"/>
          <w:position w:val="-4"/>
          <w:sz w:val="19"/>
          <w:szCs w:val="19"/>
        </w:rPr>
        <w:t>to the onlooker.</w:t>
      </w:r>
    </w:p>
    <w:p w:rsidR="003410C8" w:rsidRDefault="003410C8">
      <w:pPr>
        <w:pStyle w:val="Heading1"/>
        <w:rPr>
          <w:color w:val="000000"/>
        </w:rPr>
      </w:pPr>
      <w:r>
        <w:rPr>
          <w:color w:val="000000"/>
        </w:rPr>
        <w:t>2</w:t>
      </w:r>
      <w:r>
        <w:rPr>
          <w:color w:val="000000"/>
        </w:rPr>
        <w:tab/>
      </w:r>
      <w:r w:rsidR="00FF2DA4">
        <w:rPr>
          <w:color w:val="000000"/>
        </w:rPr>
        <w:t>Evolution</w:t>
      </w:r>
    </w:p>
    <w:p w:rsidR="003410C8" w:rsidRDefault="003410C8">
      <w:pPr>
        <w:pStyle w:val="Heading2"/>
        <w:spacing w:before="0"/>
        <w:rPr>
          <w:color w:val="000000"/>
        </w:rPr>
      </w:pPr>
      <w:r>
        <w:rPr>
          <w:color w:val="000000"/>
        </w:rPr>
        <w:t xml:space="preserve">2.1 </w:t>
      </w:r>
      <w:r w:rsidR="00FF2DA4">
        <w:rPr>
          <w:color w:val="000000"/>
        </w:rPr>
        <w:t>How it all started</w:t>
      </w:r>
    </w:p>
    <w:p w:rsidR="00FF2DA4" w:rsidRDefault="00FF2DA4" w:rsidP="00FF2DA4">
      <w:pPr>
        <w:pStyle w:val="PARAGRAPHnoindent"/>
      </w:pPr>
    </w:p>
    <w:p w:rsidR="00FF2DA4" w:rsidRPr="00FF2DA4" w:rsidRDefault="00FF2DA4" w:rsidP="00FF2DA4">
      <w:pPr>
        <w:pStyle w:val="PARAGRAPH"/>
      </w:pPr>
      <w:r>
        <w:t xml:space="preserve">Since the beginning of programming software design patterns have been implemented in application, but this process was mainly undocumented </w:t>
      </w:r>
      <w:proofErr w:type="spellStart"/>
      <w:r>
        <w:t>unitl</w:t>
      </w:r>
      <w:proofErr w:type="spellEnd"/>
      <w:r>
        <w:t xml:space="preserve"> 1987</w:t>
      </w:r>
      <w:r w:rsidR="005F40E8">
        <w:t>.</w:t>
      </w:r>
      <w:r w:rsidR="00FB6A20">
        <w:t xml:space="preserve"> </w:t>
      </w:r>
      <w:r w:rsidR="00E81C3D">
        <w:t xml:space="preserve">Kent Brock and Ward Cunningham in 1987 published a paper </w:t>
      </w:r>
      <w:proofErr w:type="spellStart"/>
      <w:r w:rsidR="00E81C3D">
        <w:t>tittled</w:t>
      </w:r>
      <w:proofErr w:type="spellEnd"/>
      <w:r w:rsidR="00E81C3D">
        <w:t xml:space="preserve"> Using Pattern Languages in Object-Oriented Programs in the paper they describe the various patterns often </w:t>
      </w:r>
      <w:proofErr w:type="spellStart"/>
      <w:r w:rsidR="00E81C3D">
        <w:t>deoployed</w:t>
      </w:r>
      <w:proofErr w:type="spellEnd"/>
      <w:r w:rsidR="00E81C3D">
        <w:t xml:space="preserve"> in</w:t>
      </w:r>
      <w:r w:rsidR="00A2174E">
        <w:t xml:space="preserve"> software development</w:t>
      </w:r>
      <w:r w:rsidR="00BB05EB">
        <w:t xml:space="preserve">. The paper published was the first to begin the setting for how future applications would be developed and how </w:t>
      </w:r>
      <w:r w:rsidR="00A5101E">
        <w:t>their design</w:t>
      </w:r>
      <w:r w:rsidR="00BB05EB">
        <w:t xml:space="preserve"> patterns would become incorporated in all software models and designs. </w:t>
      </w:r>
    </w:p>
    <w:p w:rsidR="003410C8" w:rsidRDefault="003410C8">
      <w:pPr>
        <w:pStyle w:val="Heading2"/>
        <w:ind w:left="0" w:firstLine="0"/>
        <w:rPr>
          <w:color w:val="000000"/>
        </w:rPr>
      </w:pPr>
      <w:r>
        <w:rPr>
          <w:color w:val="000000"/>
        </w:rPr>
        <w:t xml:space="preserve">2.2 </w:t>
      </w:r>
      <w:r w:rsidR="003A7129">
        <w:rPr>
          <w:color w:val="000000"/>
        </w:rPr>
        <w:t>The Prelude to</w:t>
      </w:r>
      <w:r w:rsidR="000A4F02">
        <w:rPr>
          <w:color w:val="000000"/>
        </w:rPr>
        <w:t xml:space="preserve"> Software</w:t>
      </w:r>
      <w:r w:rsidR="003A7129">
        <w:rPr>
          <w:color w:val="000000"/>
        </w:rPr>
        <w:t xml:space="preserve"> </w:t>
      </w:r>
      <w:r w:rsidR="000A4F02">
        <w:rPr>
          <w:color w:val="000000"/>
        </w:rPr>
        <w:t>D</w:t>
      </w:r>
      <w:r w:rsidR="003A7129">
        <w:rPr>
          <w:color w:val="000000"/>
        </w:rPr>
        <w:t>esign</w:t>
      </w:r>
    </w:p>
    <w:p w:rsidR="00A5101E" w:rsidRDefault="00A5101E" w:rsidP="00A5101E">
      <w:pPr>
        <w:pStyle w:val="PARAGRAPHnoindent"/>
      </w:pPr>
    </w:p>
    <w:p w:rsidR="00A5101E" w:rsidRPr="00A5101E" w:rsidRDefault="003A7129" w:rsidP="00A5101E">
      <w:pPr>
        <w:pStyle w:val="PARAGRAPH"/>
      </w:pPr>
      <w:r>
        <w:t xml:space="preserve">In 1994 the book Design Patterns: Elements of Reusable Object-Oriented Software was made and paved the path to modern day design patterns. The book also went into explicit detail about </w:t>
      </w:r>
      <w:r w:rsidR="000A4F02">
        <w:t>what exactly design pattern and their counter parts, anti-patterns are.</w:t>
      </w:r>
    </w:p>
    <w:p w:rsidR="003410C8" w:rsidRDefault="000A4F02" w:rsidP="000A4F02">
      <w:pPr>
        <w:pStyle w:val="Heading2"/>
        <w:numPr>
          <w:ilvl w:val="1"/>
          <w:numId w:val="32"/>
        </w:numPr>
        <w:rPr>
          <w:color w:val="000000"/>
        </w:rPr>
      </w:pPr>
      <w:proofErr w:type="spellStart"/>
      <w:r>
        <w:rPr>
          <w:color w:val="000000"/>
        </w:rPr>
        <w:t>Whats</w:t>
      </w:r>
      <w:proofErr w:type="spellEnd"/>
      <w:r>
        <w:rPr>
          <w:color w:val="000000"/>
        </w:rPr>
        <w:t xml:space="preserve"> are design patterns</w:t>
      </w:r>
    </w:p>
    <w:p w:rsidR="000A4F02" w:rsidRDefault="000A4F02" w:rsidP="000A4F02">
      <w:pPr>
        <w:pStyle w:val="PARAGRAPHnoindent"/>
        <w:ind w:left="360"/>
      </w:pPr>
      <w:r>
        <w:t xml:space="preserve">Design patterns can be broken down into 3 unique categories </w:t>
      </w:r>
      <w:r w:rsidRPr="000A4F02">
        <w:t xml:space="preserve">Creational, Structural or </w:t>
      </w:r>
      <w:proofErr w:type="spellStart"/>
      <w:r w:rsidRPr="000A4F02">
        <w:t>Behavioural</w:t>
      </w:r>
      <w:proofErr w:type="spellEnd"/>
      <w:r>
        <w:t>. Creational design patterns relate to the creation of objects and way in which object are implemented, these patterns are often used to create obje</w:t>
      </w:r>
      <w:r w:rsidR="00166870">
        <w:t>cts</w:t>
      </w:r>
      <w:r>
        <w:t xml:space="preserve"> in a way that suits the applications needs as well as being efficient. Some example creation patterns are: Abstract Factory pattern, </w:t>
      </w:r>
      <w:proofErr w:type="spellStart"/>
      <w:r>
        <w:t>Builer</w:t>
      </w:r>
      <w:proofErr w:type="spellEnd"/>
      <w:r>
        <w:t xml:space="preserve"> pattern, Factory Method pattern, Prototype pattern, Singleton pattern</w:t>
      </w:r>
      <w:r w:rsidR="00166870">
        <w:t>. (Below example of Abstract Factory UML)</w:t>
      </w:r>
    </w:p>
    <w:p w:rsidR="00166870" w:rsidRDefault="00166870" w:rsidP="00166870">
      <w:pPr>
        <w:pStyle w:val="PARAGRAPH"/>
      </w:pPr>
    </w:p>
    <w:p w:rsidR="00166870" w:rsidRPr="00166870" w:rsidRDefault="00166870" w:rsidP="00166870">
      <w:pPr>
        <w:pStyle w:val="PARAGRAPH"/>
      </w:pPr>
      <w:r>
        <w:rPr>
          <w:noProof/>
        </w:rPr>
        <w:drawing>
          <wp:anchor distT="0" distB="0" distL="114300" distR="114300" simplePos="0" relativeHeight="251658240" behindDoc="1" locked="0" layoutInCell="1" allowOverlap="1" wp14:anchorId="58AE7F37">
            <wp:simplePos x="0" y="0"/>
            <wp:positionH relativeFrom="column">
              <wp:posOffset>226695</wp:posOffset>
            </wp:positionH>
            <wp:positionV relativeFrom="paragraph">
              <wp:posOffset>10795</wp:posOffset>
            </wp:positionV>
            <wp:extent cx="2799080" cy="1851660"/>
            <wp:effectExtent l="0" t="0" r="1270" b="0"/>
            <wp:wrapTight wrapText="bothSides">
              <wp:wrapPolygon edited="0">
                <wp:start x="2352" y="0"/>
                <wp:lineTo x="2352" y="3556"/>
                <wp:lineTo x="0" y="6889"/>
                <wp:lineTo x="0" y="11111"/>
                <wp:lineTo x="1029" y="14222"/>
                <wp:lineTo x="1029" y="21333"/>
                <wp:lineTo x="17347" y="21333"/>
                <wp:lineTo x="18523" y="19778"/>
                <wp:lineTo x="18523" y="18222"/>
                <wp:lineTo x="18082" y="17778"/>
                <wp:lineTo x="20581" y="14889"/>
                <wp:lineTo x="20581" y="10667"/>
                <wp:lineTo x="21463" y="8444"/>
                <wp:lineTo x="21463" y="8000"/>
                <wp:lineTo x="20581" y="7111"/>
                <wp:lineTo x="20875" y="0"/>
                <wp:lineTo x="2352"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bstract Factory pattern.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99080" cy="1851660"/>
                    </a:xfrm>
                    <a:prstGeom prst="rect">
                      <a:avLst/>
                    </a:prstGeom>
                  </pic:spPr>
                </pic:pic>
              </a:graphicData>
            </a:graphic>
            <wp14:sizeRelH relativeFrom="margin">
              <wp14:pctWidth>0</wp14:pctWidth>
            </wp14:sizeRelH>
            <wp14:sizeRelV relativeFrom="margin">
              <wp14:pctHeight>0</wp14:pctHeight>
            </wp14:sizeRelV>
          </wp:anchor>
        </w:drawing>
      </w:r>
    </w:p>
    <w:p w:rsidR="00166870" w:rsidRDefault="00166870" w:rsidP="00166870">
      <w:pPr>
        <w:pStyle w:val="PARAGRAPH"/>
      </w:pPr>
    </w:p>
    <w:p w:rsidR="00166870" w:rsidRDefault="00166870" w:rsidP="00166870">
      <w:pPr>
        <w:pStyle w:val="PARAGRAPH"/>
      </w:pPr>
    </w:p>
    <w:p w:rsidR="00166870" w:rsidRPr="00166870" w:rsidRDefault="00166870" w:rsidP="00166870">
      <w:pPr>
        <w:pStyle w:val="PARAGRAPH"/>
      </w:pPr>
    </w:p>
    <w:p w:rsidR="00166870" w:rsidRDefault="00166870" w:rsidP="00166870">
      <w:pPr>
        <w:pStyle w:val="PARAGRAPH"/>
      </w:pPr>
    </w:p>
    <w:p w:rsidR="00166870" w:rsidRDefault="00166870" w:rsidP="00166870">
      <w:pPr>
        <w:pStyle w:val="PARAGRAPH"/>
      </w:pPr>
    </w:p>
    <w:p w:rsidR="00166870" w:rsidRDefault="00166870" w:rsidP="00166870">
      <w:pPr>
        <w:pStyle w:val="PARAGRAPH"/>
      </w:pPr>
    </w:p>
    <w:p w:rsidR="00166870" w:rsidRDefault="00166870" w:rsidP="00166870">
      <w:pPr>
        <w:pStyle w:val="PARAGRAPH"/>
        <w:ind w:firstLine="0"/>
      </w:pPr>
    </w:p>
    <w:p w:rsidR="00166870" w:rsidRPr="00166870" w:rsidRDefault="00166870" w:rsidP="00166870">
      <w:pPr>
        <w:pStyle w:val="PARAGRAPH"/>
        <w:ind w:firstLine="0"/>
      </w:pPr>
    </w:p>
    <w:p w:rsidR="00166870" w:rsidRDefault="00166870" w:rsidP="00166870">
      <w:pPr>
        <w:pStyle w:val="PARAGRAPH"/>
      </w:pPr>
      <w:r>
        <w:t>Structural patterns are way in which the entity relationships are designed in an application, this can help improve efficiency in the program as well as make relationships between entities more foolproof. Some common patterns are: Adapter pattern, Aggregate pattern, Flyweight pattern and Opaque pointer</w:t>
      </w:r>
      <w:r w:rsidR="00FF4AC1">
        <w:t xml:space="preserve">. Many of these patterns are often implemented unbeknownst to the programmer sometimes, but knowing these patterns can help improve application </w:t>
      </w:r>
      <w:r w:rsidR="00FF4AC1">
        <w:lastRenderedPageBreak/>
        <w:t xml:space="preserve">quality and efficiency. (Below is an example of the </w:t>
      </w:r>
      <w:proofErr w:type="spellStart"/>
      <w:r w:rsidR="00FF4AC1">
        <w:t>Flyweiight</w:t>
      </w:r>
      <w:proofErr w:type="spellEnd"/>
      <w:r w:rsidR="00FF4AC1">
        <w:t xml:space="preserve"> pattern</w:t>
      </w:r>
      <w:r w:rsidR="00C34C29">
        <w:t xml:space="preserve"> in UML and class diagram</w:t>
      </w:r>
      <w:r w:rsidR="00FF4AC1">
        <w:t>)</w:t>
      </w:r>
    </w:p>
    <w:p w:rsidR="00FF4AC1" w:rsidRDefault="00FF4AC1" w:rsidP="00166870">
      <w:pPr>
        <w:pStyle w:val="PARAGRAPH"/>
      </w:pPr>
      <w:r>
        <w:rPr>
          <w:noProof/>
        </w:rPr>
        <w:drawing>
          <wp:anchor distT="0" distB="0" distL="114300" distR="114300" simplePos="0" relativeHeight="251659264" behindDoc="1" locked="0" layoutInCell="1" allowOverlap="1">
            <wp:simplePos x="0" y="0"/>
            <wp:positionH relativeFrom="margin">
              <wp:align>left</wp:align>
            </wp:positionH>
            <wp:positionV relativeFrom="paragraph">
              <wp:posOffset>142240</wp:posOffset>
            </wp:positionV>
            <wp:extent cx="2948940" cy="1516380"/>
            <wp:effectExtent l="0" t="0" r="3810" b="7620"/>
            <wp:wrapTight wrapText="bothSides">
              <wp:wrapPolygon edited="0">
                <wp:start x="0" y="0"/>
                <wp:lineTo x="0" y="21437"/>
                <wp:lineTo x="21488" y="21437"/>
                <wp:lineTo x="21488"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lyweight pattern.jpg"/>
                    <pic:cNvPicPr/>
                  </pic:nvPicPr>
                  <pic:blipFill>
                    <a:blip r:embed="rId15">
                      <a:extLst>
                        <a:ext uri="{28A0092B-C50C-407E-A947-70E740481C1C}">
                          <a14:useLocalDpi xmlns:a14="http://schemas.microsoft.com/office/drawing/2010/main" val="0"/>
                        </a:ext>
                      </a:extLst>
                    </a:blip>
                    <a:stretch>
                      <a:fillRect/>
                    </a:stretch>
                  </pic:blipFill>
                  <pic:spPr>
                    <a:xfrm>
                      <a:off x="0" y="0"/>
                      <a:ext cx="2948940" cy="1516380"/>
                    </a:xfrm>
                    <a:prstGeom prst="rect">
                      <a:avLst/>
                    </a:prstGeom>
                  </pic:spPr>
                </pic:pic>
              </a:graphicData>
            </a:graphic>
            <wp14:sizeRelH relativeFrom="margin">
              <wp14:pctWidth>0</wp14:pctWidth>
            </wp14:sizeRelH>
            <wp14:sizeRelV relativeFrom="margin">
              <wp14:pctHeight>0</wp14:pctHeight>
            </wp14:sizeRelV>
          </wp:anchor>
        </w:drawing>
      </w:r>
      <w:r>
        <w:t xml:space="preserve">Lastly, </w:t>
      </w:r>
      <w:proofErr w:type="spellStart"/>
      <w:r>
        <w:t>behaviourial</w:t>
      </w:r>
      <w:proofErr w:type="spellEnd"/>
      <w:r>
        <w:t xml:space="preserve"> patterns are ways in which communication are done in the program. Understanding communication patterns can allow flexibility in terms of communication within the software. Common </w:t>
      </w:r>
      <w:proofErr w:type="spellStart"/>
      <w:r>
        <w:t>bahvioural</w:t>
      </w:r>
      <w:proofErr w:type="spellEnd"/>
      <w:r>
        <w:t xml:space="preserve"> patterns are Chain of Responsibility pattern, Memento pattern, </w:t>
      </w:r>
      <w:r w:rsidR="00C34C29">
        <w:t xml:space="preserve">Null object pattern and </w:t>
      </w:r>
      <w:r>
        <w:t>State pattern</w:t>
      </w:r>
      <w:r w:rsidR="00C34C29">
        <w:t>. (Below is a state design pattern in UML and class diagram)</w:t>
      </w:r>
    </w:p>
    <w:p w:rsidR="00C34C29" w:rsidRDefault="00C34C29" w:rsidP="00166870">
      <w:pPr>
        <w:pStyle w:val="PARAGRAPH"/>
      </w:pPr>
    </w:p>
    <w:p w:rsidR="00C34C29" w:rsidRDefault="00C34C29" w:rsidP="00C34C29">
      <w:pPr>
        <w:pStyle w:val="PARAGRAPH"/>
        <w:ind w:firstLine="0"/>
      </w:pPr>
      <w:r>
        <w:rPr>
          <w:noProof/>
        </w:rPr>
        <w:drawing>
          <wp:anchor distT="0" distB="0" distL="114300" distR="114300" simplePos="0" relativeHeight="251660288" behindDoc="1" locked="0" layoutInCell="1" allowOverlap="1">
            <wp:simplePos x="0" y="0"/>
            <wp:positionH relativeFrom="column">
              <wp:posOffset>-86995</wp:posOffset>
            </wp:positionH>
            <wp:positionV relativeFrom="paragraph">
              <wp:posOffset>227965</wp:posOffset>
            </wp:positionV>
            <wp:extent cx="3103245" cy="1424940"/>
            <wp:effectExtent l="0" t="0" r="1905" b="3810"/>
            <wp:wrapTight wrapText="bothSides">
              <wp:wrapPolygon edited="0">
                <wp:start x="0" y="0"/>
                <wp:lineTo x="0" y="21369"/>
                <wp:lineTo x="21481" y="21369"/>
                <wp:lineTo x="21481"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e Design pattern.jpg"/>
                    <pic:cNvPicPr/>
                  </pic:nvPicPr>
                  <pic:blipFill>
                    <a:blip r:embed="rId16">
                      <a:extLst>
                        <a:ext uri="{28A0092B-C50C-407E-A947-70E740481C1C}">
                          <a14:useLocalDpi xmlns:a14="http://schemas.microsoft.com/office/drawing/2010/main" val="0"/>
                        </a:ext>
                      </a:extLst>
                    </a:blip>
                    <a:stretch>
                      <a:fillRect/>
                    </a:stretch>
                  </pic:blipFill>
                  <pic:spPr>
                    <a:xfrm>
                      <a:off x="0" y="0"/>
                      <a:ext cx="3103245" cy="1424940"/>
                    </a:xfrm>
                    <a:prstGeom prst="rect">
                      <a:avLst/>
                    </a:prstGeom>
                  </pic:spPr>
                </pic:pic>
              </a:graphicData>
            </a:graphic>
            <wp14:sizeRelV relativeFrom="margin">
              <wp14:pctHeight>0</wp14:pctHeight>
            </wp14:sizeRelV>
          </wp:anchor>
        </w:drawing>
      </w:r>
    </w:p>
    <w:p w:rsidR="00FF4AC1" w:rsidRPr="00166870" w:rsidRDefault="00FF4AC1" w:rsidP="00166870">
      <w:pPr>
        <w:pStyle w:val="PARAGRAPH"/>
      </w:pPr>
    </w:p>
    <w:p w:rsidR="003410C8" w:rsidRDefault="00C34C29" w:rsidP="00166870">
      <w:pPr>
        <w:pStyle w:val="Heading2"/>
        <w:numPr>
          <w:ilvl w:val="1"/>
          <w:numId w:val="32"/>
        </w:numPr>
        <w:rPr>
          <w:color w:val="000000"/>
        </w:rPr>
      </w:pPr>
      <w:r>
        <w:rPr>
          <w:color w:val="000000"/>
        </w:rPr>
        <w:t>Anti-patterns</w:t>
      </w:r>
    </w:p>
    <w:p w:rsidR="00C34C29" w:rsidRDefault="00C34C29" w:rsidP="00C34C29">
      <w:pPr>
        <w:pStyle w:val="PARAGRAPHnoindent"/>
      </w:pPr>
    </w:p>
    <w:p w:rsidR="00C34C29" w:rsidRPr="00C34C29" w:rsidRDefault="00C34C29" w:rsidP="00C34C29">
      <w:pPr>
        <w:pStyle w:val="PARAGRAPH"/>
      </w:pPr>
      <w:r>
        <w:t xml:space="preserve">Anti-patterns are patterns sometimes implemented into systems which are very inefficient or </w:t>
      </w:r>
      <w:proofErr w:type="spellStart"/>
      <w:r>
        <w:t>counter productive</w:t>
      </w:r>
      <w:proofErr w:type="spellEnd"/>
      <w:r>
        <w:t xml:space="preserve"> to what they are supposed to accomplish.</w:t>
      </w:r>
      <w:r w:rsidR="009C2611">
        <w:t xml:space="preserve"> In other words, an anti-pattern is bad solution to a problem.</w:t>
      </w:r>
      <w:r>
        <w:t xml:space="preserve"> A way to determine if a certain design pattern is actually an anti-pattern is to weigh the consequences of the pattern, if the patterns negative </w:t>
      </w:r>
      <w:proofErr w:type="spellStart"/>
      <w:r>
        <w:t>reprecussions</w:t>
      </w:r>
      <w:proofErr w:type="spellEnd"/>
      <w:r>
        <w:t xml:space="preserve"> seem to outweigh that of the positive then an anti-pattern may be at play. Another way to reassure of an anti-pattern is, a little obvious but, if there is a better solution that exists and fits the problem more suitably. There are a very large </w:t>
      </w:r>
      <w:r w:rsidR="009C2611">
        <w:t>number</w:t>
      </w:r>
      <w:r>
        <w:t xml:space="preserve"> </w:t>
      </w:r>
      <w:r w:rsidR="009C2611">
        <w:t>of anti</w:t>
      </w:r>
      <w:r>
        <w:t xml:space="preserve">-patterns that exist in </w:t>
      </w:r>
      <w:r w:rsidR="009C2611">
        <w:t xml:space="preserve">many different way </w:t>
      </w:r>
      <w:proofErr w:type="spellStart"/>
      <w:r w:rsidR="009C2611">
        <w:t>beign</w:t>
      </w:r>
      <w:proofErr w:type="spellEnd"/>
      <w:r w:rsidR="009C2611">
        <w:t xml:space="preserve"> able to determine that there is an anti-pattern within the system can help improve the program drastically and perhaps remove unwanted/unneeded components. Some anti-pattern examples are: Analysis Paralysis, God </w:t>
      </w:r>
      <w:proofErr w:type="spellStart"/>
      <w:r w:rsidR="009C2611">
        <w:t>Objeect</w:t>
      </w:r>
      <w:proofErr w:type="spellEnd"/>
      <w:r w:rsidR="009C2611">
        <w:t xml:space="preserve">, Cargo cult programming and Copy and paste programming. For </w:t>
      </w:r>
      <w:proofErr w:type="spellStart"/>
      <w:r w:rsidR="00CE0920">
        <w:t>s</w:t>
      </w:r>
      <w:bookmarkStart w:id="0" w:name="_GoBack"/>
      <w:bookmarkEnd w:id="0"/>
      <w:r w:rsidR="00CE0920">
        <w:t>example</w:t>
      </w:r>
      <w:proofErr w:type="spellEnd"/>
      <w:r w:rsidR="00CE0920">
        <w:t>,</w:t>
      </w:r>
      <w:r w:rsidR="009C2611">
        <w:t xml:space="preserve"> in the anti-pattern God Object too many </w:t>
      </w:r>
      <w:proofErr w:type="spellStart"/>
      <w:r w:rsidR="009C2611">
        <w:t>funcitons</w:t>
      </w:r>
      <w:proofErr w:type="spellEnd"/>
      <w:r w:rsidR="009C2611">
        <w:t xml:space="preserve"> and </w:t>
      </w:r>
      <w:r w:rsidR="00CE0920">
        <w:t>methods are</w:t>
      </w:r>
      <w:r w:rsidR="009C2611">
        <w:t xml:space="preserve"> placed inside one object when they could be inherited by specific children classes and allow the base </w:t>
      </w:r>
      <w:r w:rsidR="00CE0920">
        <w:t>class to</w:t>
      </w:r>
      <w:r w:rsidR="009C2611">
        <w:t xml:space="preserve"> be a general object.</w:t>
      </w:r>
    </w:p>
    <w:p w:rsidR="003410C8" w:rsidRDefault="003410C8">
      <w:pPr>
        <w:pStyle w:val="Heading1"/>
        <w:rPr>
          <w:rStyle w:val="Url"/>
          <w:rFonts w:ascii="Helvetica" w:hAnsi="Helvetica"/>
          <w:color w:val="000000"/>
        </w:rPr>
      </w:pPr>
      <w:r>
        <w:rPr>
          <w:rStyle w:val="Figurereferenceto"/>
          <w:color w:val="000000"/>
        </w:rPr>
        <w:t>3</w:t>
      </w:r>
      <w:r>
        <w:rPr>
          <w:rStyle w:val="Figurereferenceto"/>
          <w:color w:val="000000"/>
        </w:rPr>
        <w:tab/>
        <w:t>Sections</w:t>
      </w:r>
    </w:p>
    <w:p w:rsidR="003410C8" w:rsidRDefault="003410C8">
      <w:pPr>
        <w:pStyle w:val="PARAGRAPHnoindent"/>
        <w:rPr>
          <w:color w:val="000000"/>
        </w:rPr>
      </w:pPr>
      <w:r>
        <w:rPr>
          <w:color w:val="000000"/>
        </w:rPr>
        <w:t xml:space="preserve">As demonstrated in this document, the numbering </w:t>
      </w:r>
      <w:r w:rsidR="00AB633F">
        <w:rPr>
          <w:color w:val="000000"/>
        </w:rPr>
        <w:t>of</w:t>
      </w:r>
      <w:r>
        <w:rPr>
          <w:color w:val="000000"/>
        </w:rPr>
        <w:t xml:space="preserve"> sections</w:t>
      </w:r>
      <w:r w:rsidR="0071239C">
        <w:rPr>
          <w:color w:val="000000"/>
        </w:rPr>
        <w:t xml:space="preserve"> </w:t>
      </w:r>
      <w:r w:rsidR="00AB633F">
        <w:rPr>
          <w:color w:val="000000"/>
        </w:rPr>
        <w:t>is</w:t>
      </w:r>
      <w:r>
        <w:rPr>
          <w:color w:val="000000"/>
        </w:rPr>
        <w:t xml:space="preserve"> upper case Arabic numerals, then upper case Arabic numerals, separated by periods. Initial paragraphs after the section title are not indented. Only the initial, introductory paragraph has a drop cap.</w:t>
      </w:r>
    </w:p>
    <w:p w:rsidR="003410C8" w:rsidRDefault="003410C8">
      <w:pPr>
        <w:pStyle w:val="Heading1"/>
        <w:rPr>
          <w:color w:val="000000"/>
        </w:rPr>
      </w:pPr>
      <w:r>
        <w:rPr>
          <w:color w:val="000000"/>
        </w:rPr>
        <w:t>4</w:t>
      </w:r>
      <w:r>
        <w:rPr>
          <w:color w:val="000000"/>
        </w:rPr>
        <w:tab/>
        <w:t>Citations</w:t>
      </w:r>
    </w:p>
    <w:p w:rsidR="003410C8" w:rsidRDefault="003410C8">
      <w:pPr>
        <w:pStyle w:val="PARAGRAPHnoindent"/>
        <w:rPr>
          <w:color w:val="000000"/>
        </w:rPr>
      </w:pPr>
      <w:r>
        <w:rPr>
          <w:color w:val="000000"/>
        </w:rPr>
        <w:t>IEEE Computer Society style is to not</w:t>
      </w:r>
      <w:r w:rsidR="0071239C">
        <w:rPr>
          <w:color w:val="000000"/>
        </w:rPr>
        <w:t>e</w:t>
      </w:r>
      <w:r>
        <w:rPr>
          <w:color w:val="000000"/>
        </w:rPr>
        <w:t xml:space="preserve"> citations in individual brackets, followed by a comma, e.g. “[1], [5]” (as opposed to the more common “[1, 5]” form.) Citation ranges should be formatted as follows: [1], [2], [3], [4] (as opposed to [1]-[4], which is not IEEE Computer Society style). </w:t>
      </w:r>
      <w:r>
        <w:rPr>
          <w:color w:val="000000"/>
          <w:spacing w:val="-6"/>
        </w:rPr>
        <w:t xml:space="preserve">When citing a section in a book, please give the relevant page numbers [2]. In sentences, refer simply to the reference number, as in [3]. Do not use “Ref. [3]” or “reference [3]” At the beginning of a sentence use the author names instead of “Reference [3],” e.g., “Smith and Smith [3] show </w:t>
      </w:r>
      <w:proofErr w:type="gramStart"/>
      <w:r>
        <w:rPr>
          <w:color w:val="000000"/>
          <w:spacing w:val="-6"/>
        </w:rPr>
        <w:t>... .</w:t>
      </w:r>
      <w:proofErr w:type="gramEnd"/>
      <w:r>
        <w:rPr>
          <w:color w:val="000000"/>
          <w:spacing w:val="-6"/>
        </w:rPr>
        <w:t xml:space="preserve">” </w:t>
      </w:r>
      <w:r>
        <w:rPr>
          <w:color w:val="000000"/>
        </w:rPr>
        <w:t xml:space="preserve">Please note that references will be formatted by IEEE Computer Society production staff in the same order provided by the author. </w:t>
      </w:r>
    </w:p>
    <w:p w:rsidR="003410C8" w:rsidRDefault="003410C8">
      <w:pPr>
        <w:pStyle w:val="Heading1"/>
        <w:rPr>
          <w:color w:val="000000"/>
        </w:rPr>
      </w:pPr>
      <w:r>
        <w:rPr>
          <w:color w:val="000000"/>
        </w:rPr>
        <w:t>5</w:t>
      </w:r>
      <w:r>
        <w:rPr>
          <w:color w:val="000000"/>
        </w:rPr>
        <w:tab/>
        <w:t>Equations</w:t>
      </w:r>
    </w:p>
    <w:p w:rsidR="003410C8" w:rsidRDefault="003410C8">
      <w:pPr>
        <w:pStyle w:val="PARAGRAPHnoindent"/>
        <w:rPr>
          <w:color w:val="000000"/>
        </w:rPr>
      </w:pPr>
      <w:r>
        <w:rPr>
          <w:color w:val="000000"/>
        </w:rPr>
        <w:t xml:space="preserve">If you are using Word, use the </w:t>
      </w:r>
      <w:proofErr w:type="spellStart"/>
      <w:r w:rsidRPr="00F964F4">
        <w:rPr>
          <w:color w:val="000000"/>
        </w:rPr>
        <w:t>MathType</w:t>
      </w:r>
      <w:proofErr w:type="spellEnd"/>
      <w:r w:rsidRPr="00F964F4">
        <w:rPr>
          <w:color w:val="000000"/>
        </w:rPr>
        <w:t xml:space="preserve"> add-on (</w:t>
      </w:r>
      <w:hyperlink r:id="rId17" w:history="1">
        <w:r w:rsidR="0071239C" w:rsidRPr="00927E8F">
          <w:rPr>
            <w:rStyle w:val="Hyperlink"/>
            <w:rFonts w:ascii="Helvetica Condensed" w:hAnsi="Helvetica Condensed" w:cs="Times New Roman"/>
            <w:sz w:val="18"/>
          </w:rPr>
          <w:t>http://www.mathtype.com</w:t>
        </w:r>
      </w:hyperlink>
      <w:r w:rsidRPr="00F964F4">
        <w:rPr>
          <w:color w:val="000000"/>
        </w:rPr>
        <w:t>)</w:t>
      </w:r>
      <w:r w:rsidR="0071239C">
        <w:rPr>
          <w:color w:val="000000"/>
        </w:rPr>
        <w:t xml:space="preserve"> </w:t>
      </w:r>
      <w:r>
        <w:rPr>
          <w:color w:val="000000"/>
        </w:rPr>
        <w:t xml:space="preserve">for equations in your paper (Insert | Object | Create New | Microsoft Equation or </w:t>
      </w:r>
      <w:proofErr w:type="spellStart"/>
      <w:r>
        <w:rPr>
          <w:color w:val="000000"/>
        </w:rPr>
        <w:t>MathType</w:t>
      </w:r>
      <w:proofErr w:type="spellEnd"/>
      <w:r>
        <w:rPr>
          <w:color w:val="000000"/>
        </w:rPr>
        <w:t xml:space="preserve"> Equation). “Float over text” should not be selected.</w:t>
      </w:r>
    </w:p>
    <w:p w:rsidR="003410C8" w:rsidRDefault="0071239C">
      <w:pPr>
        <w:pStyle w:val="PARAGRAPH"/>
        <w:rPr>
          <w:color w:val="000000"/>
        </w:rPr>
      </w:pPr>
      <w:r w:rsidRPr="00F964F4">
        <w:t xml:space="preserve">For display equations as seen below, </w:t>
      </w:r>
      <w:r>
        <w:rPr>
          <w:color w:val="000000"/>
        </w:rPr>
        <w:t>n</w:t>
      </w:r>
      <w:r w:rsidR="003410C8">
        <w:rPr>
          <w:color w:val="000000"/>
        </w:rPr>
        <w:t xml:space="preserve">umber equations consecutively with equation numbers in parentheses flush with the right margin, as in (1). First, use the equation editor to create the equation. Then, select the “Equation” markup style. Press the tab key and write the equation number in parentheses. To make your equations more compact, you may use the solidus </w:t>
      </w:r>
      <w:proofErr w:type="gramStart"/>
      <w:r w:rsidR="003410C8">
        <w:rPr>
          <w:color w:val="000000"/>
        </w:rPr>
        <w:t>( /</w:t>
      </w:r>
      <w:proofErr w:type="gramEnd"/>
      <w:r w:rsidR="003410C8">
        <w:rPr>
          <w:color w:val="000000"/>
        </w:rPr>
        <w:t xml:space="preserve"> ), the exp function, or appropriate exponents. Use parentheses to avoid ambiguities in denominators. Punctuate equations when they are part of a sentence, as in</w:t>
      </w:r>
    </w:p>
    <w:p w:rsidR="003410C8" w:rsidRDefault="00A64EB7">
      <w:pPr>
        <w:pStyle w:val="Equation"/>
        <w:rPr>
          <w:rFonts w:ascii="Palatino" w:hAnsi="Palatino"/>
          <w:color w:val="000000"/>
        </w:rPr>
      </w:pPr>
      <w:r>
        <w:rPr>
          <w:rFonts w:ascii="Palatino" w:hAnsi="Palatino"/>
          <w:noProof/>
          <w:color w:val="000000"/>
          <w:position w:val="-50"/>
        </w:rPr>
        <w:drawing>
          <wp:inline distT="0" distB="0" distL="0" distR="0">
            <wp:extent cx="2857500" cy="5842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2857500" cy="584200"/>
                    </a:xfrm>
                    <a:prstGeom prst="rect">
                      <a:avLst/>
                    </a:prstGeom>
                    <a:noFill/>
                    <a:ln w="9525">
                      <a:noFill/>
                      <a:miter lim="800000"/>
                      <a:headEnd/>
                      <a:tailEnd/>
                    </a:ln>
                  </pic:spPr>
                </pic:pic>
              </a:graphicData>
            </a:graphic>
          </wp:inline>
        </w:drawing>
      </w:r>
      <w:r w:rsidR="003410C8">
        <w:rPr>
          <w:rFonts w:ascii="Palatino" w:hAnsi="Palatino"/>
          <w:color w:val="000000"/>
        </w:rPr>
        <w:tab/>
        <w:t>(1)</w:t>
      </w:r>
    </w:p>
    <w:p w:rsidR="003410C8" w:rsidRDefault="003410C8">
      <w:pPr>
        <w:pStyle w:val="PARAGRAPH"/>
        <w:rPr>
          <w:color w:val="000000"/>
        </w:rPr>
      </w:pPr>
      <w:r>
        <w:rPr>
          <w:color w:val="000000"/>
        </w:rPr>
        <w:t>Be sure that the symbols in your equation have been defined before the equation appears or immediately following. Italicize symbols (</w:t>
      </w:r>
      <w:r>
        <w:rPr>
          <w:i/>
          <w:iCs/>
          <w:color w:val="000000"/>
        </w:rPr>
        <w:t>T</w:t>
      </w:r>
      <w:r>
        <w:rPr>
          <w:color w:val="000000"/>
        </w:rPr>
        <w:t xml:space="preserve"> might refer to temperature, but T is the unit tesla). Per IEEE Computer Society, please refer to “(1),” not “Eq. (1)” or “equation (1),” except at the beginning of a sentence: “Equation (1) shows </w:t>
      </w:r>
      <w:proofErr w:type="gramStart"/>
      <w:r>
        <w:rPr>
          <w:color w:val="000000"/>
        </w:rPr>
        <w:t>... .</w:t>
      </w:r>
      <w:proofErr w:type="gramEnd"/>
      <w:r>
        <w:rPr>
          <w:color w:val="000000"/>
        </w:rPr>
        <w:t xml:space="preserve">” Also see </w:t>
      </w:r>
      <w:r>
        <w:rPr>
          <w:i/>
          <w:iCs/>
          <w:color w:val="000000"/>
        </w:rPr>
        <w:t>The Handbook of Writing for the Mathematical Sciences</w:t>
      </w:r>
      <w:r>
        <w:rPr>
          <w:color w:val="000000"/>
        </w:rPr>
        <w:t>, 1993. Published by the Society for Industrial and Applied Mathematics, this handbook provides some helpful information about math typography and other stylistic matters. For further information about typesetting mathematical equations, please visit the IEEE Computer Society sty</w:t>
      </w:r>
      <w:r w:rsidR="00177B9E">
        <w:rPr>
          <w:color w:val="000000"/>
        </w:rPr>
        <w:t>le</w:t>
      </w:r>
      <w:r>
        <w:rPr>
          <w:color w:val="000000"/>
        </w:rPr>
        <w:t xml:space="preserve"> guide: </w:t>
      </w:r>
      <w:hyperlink r:id="rId19" w:history="1">
        <w:r w:rsidR="0071239C" w:rsidRPr="00F964F4">
          <w:rPr>
            <w:rStyle w:val="Hyperlink"/>
            <w:color w:val="1F497D" w:themeColor="text2"/>
          </w:rPr>
          <w:t>http://www.computer.org/portal/web/publications/style_math</w:t>
        </w:r>
      </w:hyperlink>
      <w:r>
        <w:rPr>
          <w:color w:val="000000"/>
        </w:rPr>
        <w:t>.</w:t>
      </w:r>
    </w:p>
    <w:p w:rsidR="003410C8" w:rsidRDefault="003410C8">
      <w:pPr>
        <w:pStyle w:val="PARAGRAPH"/>
        <w:rPr>
          <w:color w:val="000000"/>
          <w:spacing w:val="-4"/>
        </w:rPr>
      </w:pPr>
      <w:r>
        <w:rPr>
          <w:color w:val="000000"/>
          <w:spacing w:val="-4"/>
        </w:rPr>
        <w:t xml:space="preserve">Please note that math equations might need to be reformatted from the original submission for page layout reasons. This includes the possibility that some in-line equations will be made display equations to create better flow in a paragraph. </w:t>
      </w:r>
      <w:r>
        <w:rPr>
          <w:color w:val="000000"/>
          <w:spacing w:val="-4"/>
        </w:rPr>
        <w:lastRenderedPageBreak/>
        <w:t>If display equations do not fit in the two-column format, they will also be reformatted. Authors are strongly encouraged to ensure that equations fit in the given column width.</w:t>
      </w:r>
    </w:p>
    <w:p w:rsidR="003410C8" w:rsidRDefault="003410C8">
      <w:pPr>
        <w:pStyle w:val="Heading1"/>
        <w:rPr>
          <w:color w:val="000000"/>
        </w:rPr>
      </w:pPr>
      <w:r>
        <w:rPr>
          <w:color w:val="000000"/>
        </w:rPr>
        <w:t>6</w:t>
      </w:r>
      <w:r>
        <w:rPr>
          <w:color w:val="000000"/>
        </w:rPr>
        <w:tab/>
        <w:t>Helpful Hints</w:t>
      </w:r>
    </w:p>
    <w:p w:rsidR="003410C8" w:rsidRDefault="003410C8">
      <w:pPr>
        <w:pStyle w:val="Heading2"/>
        <w:spacing w:before="0"/>
        <w:rPr>
          <w:color w:val="000000"/>
        </w:rPr>
      </w:pPr>
      <w:r>
        <w:rPr>
          <w:color w:val="000000"/>
        </w:rPr>
        <w:t>6.1</w:t>
      </w:r>
      <w:r>
        <w:rPr>
          <w:color w:val="000000"/>
        </w:rPr>
        <w:tab/>
        <w:t>Figures and Tables</w:t>
      </w:r>
    </w:p>
    <w:p w:rsidR="003410C8" w:rsidRDefault="003410C8">
      <w:pPr>
        <w:pStyle w:val="PARAGRAPHnoindent"/>
        <w:rPr>
          <w:color w:val="000000"/>
        </w:rPr>
      </w:pPr>
      <w:r>
        <w:rPr>
          <w:color w:val="000000"/>
        </w:rPr>
        <w:t xml:space="preserve">Because IEEE Computer Society staff will do the final formatting of your paper, some figures may have to be moved from where they appeared in the original submission. Figures and tables should be sized as they are to appear in print. Figures or tables not correctly sized will be returned to the author for reformatting. </w:t>
      </w:r>
    </w:p>
    <w:p w:rsidR="003410C8" w:rsidRDefault="003410C8">
      <w:pPr>
        <w:pStyle w:val="PARAGRAPH"/>
        <w:rPr>
          <w:color w:val="000000"/>
        </w:rPr>
      </w:pPr>
      <w:r>
        <w:rPr>
          <w:color w:val="000000"/>
        </w:rPr>
        <w:t>Detailed information about the creation and submission of images for articles can be found at</w:t>
      </w:r>
      <w:r w:rsidR="00753F24" w:rsidRPr="00753F24">
        <w:rPr>
          <w:color w:val="000000"/>
        </w:rPr>
        <w:t xml:space="preserve"> </w:t>
      </w:r>
      <w:hyperlink r:id="rId20" w:anchor="figures" w:history="1">
        <w:r w:rsidR="00753F24" w:rsidRPr="00F964F4">
          <w:rPr>
            <w:rStyle w:val="Hyperlink"/>
            <w:color w:val="1F497D" w:themeColor="text2"/>
          </w:rPr>
          <w:t>http://www.computer.org/portal/web/peerreviewjournals/author#figures</w:t>
        </w:r>
      </w:hyperlink>
      <w:r w:rsidR="00753F24" w:rsidRPr="0071239C">
        <w:rPr>
          <w:color w:val="FF0000"/>
        </w:rPr>
        <w:t xml:space="preserve"> </w:t>
      </w:r>
      <w:r w:rsidR="00753F24" w:rsidRPr="00F964F4">
        <w:rPr>
          <w:rStyle w:val="Url"/>
          <w:color w:val="auto"/>
        </w:rPr>
        <w:t>where you can</w:t>
      </w:r>
      <w:r w:rsidR="00753F24" w:rsidRPr="0071239C">
        <w:rPr>
          <w:rStyle w:val="Url"/>
          <w:color w:val="FF0000"/>
        </w:rPr>
        <w:t xml:space="preserve"> </w:t>
      </w:r>
      <w:hyperlink r:id="rId21" w:history="1">
        <w:r w:rsidR="00753F24" w:rsidRPr="00F964F4">
          <w:rPr>
            <w:rStyle w:val="Hyperlink"/>
            <w:rFonts w:ascii="Verdana" w:hAnsi="Verdana"/>
            <w:color w:val="1F497D" w:themeColor="text2"/>
            <w:sz w:val="13"/>
            <w:szCs w:val="13"/>
            <w:shd w:val="clear" w:color="auto" w:fill="FFFFFF"/>
          </w:rPr>
          <w:t>View transactions art_guide.pdf (PDF, 4.69MB)</w:t>
        </w:r>
      </w:hyperlink>
      <w:r w:rsidR="00753F24">
        <w:rPr>
          <w:color w:val="FF0000"/>
        </w:rPr>
        <w:t xml:space="preserve"> </w:t>
      </w:r>
      <w:r>
        <w:rPr>
          <w:rStyle w:val="Url"/>
          <w:color w:val="000000"/>
        </w:rPr>
        <w:t xml:space="preserve">. </w:t>
      </w:r>
      <w:r>
        <w:rPr>
          <w:color w:val="000000"/>
        </w:rPr>
        <w:t>We strongly encourage authors to carefully review the material posted here to avoid problems with incorrect files or poorly formatted graphics.</w:t>
      </w:r>
    </w:p>
    <w:p w:rsidR="003410C8" w:rsidRDefault="003410C8">
      <w:pPr>
        <w:pStyle w:val="PARAGRAPH"/>
        <w:rPr>
          <w:color w:val="000000"/>
        </w:rPr>
      </w:pPr>
      <w:r>
        <w:rPr>
          <w:color w:val="000000"/>
        </w:rPr>
        <w:t xml:space="preserve">Place figure captions below the figures; place table titles above the tables. </w:t>
      </w:r>
      <w:r w:rsidR="00753F24" w:rsidRPr="00F964F4">
        <w:t>Figure captions appear as left justified. Table captions are restricted to one sentence and are formatted as title case. Any additional sentence in a table caption will be formatted as a footnote below the table</w:t>
      </w:r>
      <w:r w:rsidR="005348DB" w:rsidRPr="00F964F4">
        <w:t xml:space="preserve"> (see Table 1 in this document)</w:t>
      </w:r>
      <w:r w:rsidR="00753F24" w:rsidRPr="00F964F4">
        <w:t>.</w:t>
      </w:r>
      <w:r w:rsidR="00753F24">
        <w:rPr>
          <w:color w:val="000000"/>
        </w:rPr>
        <w:t xml:space="preserve"> </w:t>
      </w:r>
      <w:r>
        <w:rPr>
          <w:color w:val="000000"/>
        </w:rPr>
        <w:t xml:space="preserve">If your figure has two parts, include the labels “(a)” and “(b)” as part of the artwork. Please verify that the figures and tables you mention in the text actually exist. </w:t>
      </w:r>
      <w:r w:rsidRPr="00E12B17">
        <w:t xml:space="preserve">Figures and tables should be called out in </w:t>
      </w:r>
      <w:proofErr w:type="gramStart"/>
      <w:r w:rsidR="00753F24" w:rsidRPr="00E12B17">
        <w:t xml:space="preserve">sequential </w:t>
      </w:r>
      <w:r w:rsidRPr="00E12B17">
        <w:t xml:space="preserve"> order</w:t>
      </w:r>
      <w:proofErr w:type="gramEnd"/>
      <w:r w:rsidR="00753F24" w:rsidRPr="00E12B17">
        <w:t>, as this is how they will be placed</w:t>
      </w:r>
      <w:r w:rsidRPr="00E12B17">
        <w:t xml:space="preserve"> in </w:t>
      </w:r>
      <w:r w:rsidR="00753F24" w:rsidRPr="00E12B17">
        <w:t>your paper</w:t>
      </w:r>
      <w:r>
        <w:rPr>
          <w:color w:val="000000"/>
        </w:rPr>
        <w:t xml:space="preserve">. For example, avoid referring to figure “8” in the first paragraph of the article unless figure 8 will again be referred to after the reference to figure 7. </w:t>
      </w:r>
      <w:r>
        <w:rPr>
          <w:b/>
          <w:bCs/>
          <w:color w:val="000000"/>
        </w:rPr>
        <w:t xml:space="preserve">Please do not include figure captions as part of the figure. Do not put captions in “text boxes” linked to the figures. Do not put borders around the outside of your figures. </w:t>
      </w:r>
      <w:r>
        <w:rPr>
          <w:color w:val="000000"/>
        </w:rPr>
        <w:t xml:space="preserve">Per IEEE Computer Society, please use the abbreviation “Fig.” even at the beginning of a sentence. Do not abbreviate “Table.” Tables are numbered numerically. </w:t>
      </w:r>
    </w:p>
    <w:p w:rsidR="003410C8" w:rsidRDefault="00753F24">
      <w:pPr>
        <w:pStyle w:val="PARAGRAPH"/>
        <w:rPr>
          <w:color w:val="000000"/>
        </w:rPr>
      </w:pPr>
      <w:r w:rsidRPr="00E12B17">
        <w:t>For journals that use print for publication, p</w:t>
      </w:r>
      <w:r w:rsidR="003410C8" w:rsidRPr="00E12B17">
        <w:t>lease</w:t>
      </w:r>
      <w:r w:rsidR="003410C8">
        <w:rPr>
          <w:color w:val="000000"/>
        </w:rPr>
        <w:t xml:space="preserve"> verify with IEEE Computer Society that the journal you are submitting to does indeed accept color before submitting final materials. </w:t>
      </w:r>
      <w:r w:rsidR="003410C8">
        <w:rPr>
          <w:b/>
          <w:bCs/>
          <w:color w:val="000000"/>
        </w:rPr>
        <w:t>Do not use color unless it is necessary for the proper interpretation of your figures.</w:t>
      </w:r>
      <w:r w:rsidR="003410C8">
        <w:rPr>
          <w:color w:val="000000"/>
        </w:rPr>
        <w:t xml:space="preserve"> </w:t>
      </w:r>
    </w:p>
    <w:p w:rsidR="003410C8" w:rsidRDefault="003410C8">
      <w:pPr>
        <w:pStyle w:val="PARAGRAPH"/>
        <w:rPr>
          <w:color w:val="000000"/>
          <w:spacing w:val="-2"/>
        </w:rPr>
      </w:pPr>
      <w:r>
        <w:rPr>
          <w:color w:val="000000"/>
          <w:spacing w:val="-2"/>
        </w:rPr>
        <w:t xml:space="preserve">Figures (graphs, charts, drawing or tables) should be named fig1.eps, fig2.ps, etc. If your figure has multiple parts, please submit as a single figure. Please do not give them descriptive names. Author photograph files should be named after the author’s LAST name. Please avoid naming files with the author’s first name or an abbreviated version of either name to avoid confusion. If a graphic is to appear in print as black and white, it should be saved and submitted as a black and white file (grayscale or bitmap.) If a graphic is to appear in color, it should be submitted as an </w:t>
      </w:r>
      <w:r w:rsidRPr="00E12B17">
        <w:rPr>
          <w:color w:val="000000"/>
          <w:spacing w:val="-2"/>
        </w:rPr>
        <w:t>RGB</w:t>
      </w:r>
      <w:r>
        <w:rPr>
          <w:color w:val="000000"/>
          <w:spacing w:val="-2"/>
        </w:rPr>
        <w:t xml:space="preserve"> color file.</w:t>
      </w:r>
    </w:p>
    <w:p w:rsidR="003410C8" w:rsidRDefault="00A64EB7">
      <w:pPr>
        <w:pStyle w:val="ART"/>
        <w:framePr w:w="5040" w:wrap="around" w:vAnchor="page" w:hAnchor="page" w:x="728" w:y="1203"/>
        <w:spacing w:before="0"/>
        <w:rPr>
          <w:color w:val="000000"/>
        </w:rPr>
      </w:pPr>
      <w:r>
        <w:rPr>
          <w:noProof/>
          <w:color w:val="000000"/>
        </w:rPr>
        <w:drawing>
          <wp:inline distT="0" distB="0" distL="0" distR="0">
            <wp:extent cx="2489200" cy="1879600"/>
            <wp:effectExtent l="19050" t="0" r="6350" b="0"/>
            <wp:docPr id="2" name="Picture 2" descr="Word template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ord template Figure 1"/>
                    <pic:cNvPicPr>
                      <a:picLocks noChangeAspect="1" noChangeArrowheads="1"/>
                    </pic:cNvPicPr>
                  </pic:nvPicPr>
                  <pic:blipFill>
                    <a:blip r:embed="rId22"/>
                    <a:srcRect/>
                    <a:stretch>
                      <a:fillRect/>
                    </a:stretch>
                  </pic:blipFill>
                  <pic:spPr bwMode="auto">
                    <a:xfrm>
                      <a:off x="0" y="0"/>
                      <a:ext cx="2489200" cy="1879600"/>
                    </a:xfrm>
                    <a:prstGeom prst="rect">
                      <a:avLst/>
                    </a:prstGeom>
                    <a:noFill/>
                    <a:ln w="9525">
                      <a:noFill/>
                      <a:miter lim="800000"/>
                      <a:headEnd/>
                      <a:tailEnd/>
                    </a:ln>
                  </pic:spPr>
                </pic:pic>
              </a:graphicData>
            </a:graphic>
          </wp:inline>
        </w:drawing>
      </w:r>
    </w:p>
    <w:p w:rsidR="003410C8" w:rsidRDefault="003410C8">
      <w:pPr>
        <w:pStyle w:val="FIGURECAPTION"/>
        <w:framePr w:w="5040" w:wrap="around" w:vAnchor="page" w:hAnchor="page" w:x="728" w:y="1203"/>
        <w:rPr>
          <w:color w:val="000000"/>
        </w:rPr>
      </w:pPr>
      <w:r>
        <w:rPr>
          <w:color w:val="000000"/>
        </w:rPr>
        <w:t xml:space="preserve">Fig. 1. Magnetization as a function of applied field. Note that “Fig.” is abbreviated. There is a period after the figure number, followed by one space. It is good practice to briefly explain the significance of the figure in the caption. </w:t>
      </w:r>
    </w:p>
    <w:p w:rsidR="003410C8" w:rsidRDefault="003410C8">
      <w:pPr>
        <w:pStyle w:val="PARAGRAPH"/>
        <w:rPr>
          <w:color w:val="000000"/>
        </w:rPr>
      </w:pPr>
      <w:r>
        <w:rPr>
          <w:color w:val="000000"/>
        </w:rPr>
        <w:t xml:space="preserve">Figure axis labels are often a source of confusion. Use words rather than symbols. As an example, write the quantity “Magnetization,” or “Magnetization </w:t>
      </w:r>
      <w:r>
        <w:rPr>
          <w:i/>
          <w:iCs/>
          <w:color w:val="000000"/>
        </w:rPr>
        <w:t>M</w:t>
      </w:r>
      <w:r>
        <w:rPr>
          <w:color w:val="000000"/>
        </w:rPr>
        <w:t>,” not just “</w:t>
      </w:r>
      <w:r>
        <w:rPr>
          <w:i/>
          <w:iCs/>
          <w:color w:val="000000"/>
        </w:rPr>
        <w:t>M</w:t>
      </w:r>
      <w:r>
        <w:rPr>
          <w:color w:val="000000"/>
        </w:rPr>
        <w:t>.” Put units in parentheses. Do not label axes only with units. As in Fig. 1, for example, write “Magnetization (A/m)” or “Magnetization (A</w:t>
      </w:r>
      <w:r w:rsidR="00A64EB7">
        <w:rPr>
          <w:noProof/>
          <w:color w:val="000000"/>
          <w:position w:val="-2"/>
        </w:rPr>
        <w:drawing>
          <wp:inline distT="0" distB="0" distL="0" distR="0">
            <wp:extent cx="63500" cy="762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srcRect/>
                    <a:stretch>
                      <a:fillRect/>
                    </a:stretch>
                  </pic:blipFill>
                  <pic:spPr bwMode="auto">
                    <a:xfrm>
                      <a:off x="0" y="0"/>
                      <a:ext cx="63500" cy="76200"/>
                    </a:xfrm>
                    <a:prstGeom prst="rect">
                      <a:avLst/>
                    </a:prstGeom>
                    <a:noFill/>
                    <a:ln w="9525">
                      <a:noFill/>
                      <a:miter lim="800000"/>
                      <a:headEnd/>
                      <a:tailEnd/>
                    </a:ln>
                  </pic:spPr>
                </pic:pic>
              </a:graphicData>
            </a:graphic>
          </wp:inline>
        </w:drawing>
      </w:r>
      <w:r>
        <w:rPr>
          <w:color w:val="000000"/>
        </w:rPr>
        <w:t>m</w:t>
      </w:r>
      <w:r>
        <w:rPr>
          <w:color w:val="000000"/>
          <w:vertAlign w:val="superscript"/>
        </w:rPr>
        <w:sym w:font="Symbol" w:char="F02D"/>
      </w:r>
      <w:r>
        <w:rPr>
          <w:color w:val="000000"/>
          <w:vertAlign w:val="superscript"/>
        </w:rPr>
        <w:t>1</w:t>
      </w:r>
      <w:r>
        <w:rPr>
          <w:color w:val="000000"/>
        </w:rPr>
        <w:t>),” not just “A/m.” Do not label axes with a ratio of quantities and units. For example, write “Temperature (K),” not “Temperature/K.” Table 1 shows some examples of units of measure.</w:t>
      </w:r>
    </w:p>
    <w:p w:rsidR="003410C8" w:rsidRDefault="003410C8">
      <w:pPr>
        <w:pStyle w:val="PARAGRAPH"/>
        <w:rPr>
          <w:color w:val="000000"/>
          <w:spacing w:val="-2"/>
        </w:rPr>
      </w:pPr>
      <w:r>
        <w:rPr>
          <w:color w:val="000000"/>
          <w:spacing w:val="-2"/>
        </w:rPr>
        <w:t xml:space="preserve">Multipliers can be especially confusing. Write “Magnetization (kA/m)” or “Magnetization (103 A/m).” Do not write “Magnetization (A/m) </w:t>
      </w:r>
      <w:r>
        <w:rPr>
          <w:color w:val="000000"/>
          <w:spacing w:val="-2"/>
        </w:rPr>
        <w:sym w:font="Symbol" w:char="F0B4"/>
      </w:r>
      <w:r>
        <w:rPr>
          <w:color w:val="000000"/>
          <w:spacing w:val="-2"/>
        </w:rPr>
        <w:t xml:space="preserve"> 1,000” because the reader would not know whether the top axis label in Fig. 1 meant 16,000 A/m or 0.016 A/m. Figure labels should be legible, approximately 8 to </w:t>
      </w:r>
      <w:proofErr w:type="gramStart"/>
      <w:r>
        <w:rPr>
          <w:color w:val="000000"/>
          <w:spacing w:val="-2"/>
        </w:rPr>
        <w:t>12 point</w:t>
      </w:r>
      <w:proofErr w:type="gramEnd"/>
      <w:r>
        <w:rPr>
          <w:color w:val="000000"/>
          <w:spacing w:val="-2"/>
        </w:rPr>
        <w:t xml:space="preserve"> type. When creating your graphics, especially in complex graphs and charts, please ensure that line weights are thick enough that when reproduced at print size, they will still be legible. We suggest at least 1 point.</w:t>
      </w:r>
    </w:p>
    <w:p w:rsidR="003410C8" w:rsidRDefault="003410C8">
      <w:pPr>
        <w:pStyle w:val="Heading2"/>
        <w:rPr>
          <w:color w:val="000000"/>
        </w:rPr>
      </w:pPr>
      <w:r>
        <w:rPr>
          <w:color w:val="000000"/>
        </w:rPr>
        <w:t>6.3</w:t>
      </w:r>
      <w:r>
        <w:rPr>
          <w:color w:val="000000"/>
        </w:rPr>
        <w:tab/>
        <w:t>Footnotes</w:t>
      </w:r>
    </w:p>
    <w:p w:rsidR="003410C8" w:rsidRDefault="003410C8">
      <w:pPr>
        <w:pStyle w:val="PARAGRAPHnoindent"/>
        <w:rPr>
          <w:color w:val="000000"/>
          <w:spacing w:val="-4"/>
        </w:rPr>
      </w:pPr>
      <w:r>
        <w:rPr>
          <w:color w:val="000000"/>
          <w:spacing w:val="-4"/>
        </w:rPr>
        <w:t>Number footnotes separately in superscripts (Insert | Footnote)</w:t>
      </w:r>
      <w:r>
        <w:rPr>
          <w:rStyle w:val="FootnoteReference"/>
          <w:color w:val="000000"/>
          <w:spacing w:val="-4"/>
        </w:rPr>
        <w:footnoteReference w:id="1"/>
      </w:r>
      <w:r>
        <w:rPr>
          <w:color w:val="000000"/>
          <w:spacing w:val="-4"/>
        </w:rPr>
        <w:t xml:space="preserve">. Place the actual footnote at the bottom of the column in which it is cited; do not put footnotes in the reference list (endnotes). Use letters for table footnotes (see Table 1). Please do not include footnotes in the abstract and avoid using a footnote in the first column of the article. This will cause it to appear </w:t>
      </w:r>
      <w:r w:rsidR="00753F24">
        <w:rPr>
          <w:color w:val="000000"/>
          <w:spacing w:val="-4"/>
        </w:rPr>
        <w:t>above</w:t>
      </w:r>
      <w:r>
        <w:rPr>
          <w:color w:val="000000"/>
          <w:spacing w:val="-4"/>
        </w:rPr>
        <w:t xml:space="preserve"> the affiliation box, making the layout look confusing.</w:t>
      </w:r>
    </w:p>
    <w:p w:rsidR="003410C8" w:rsidRDefault="003410C8" w:rsidP="00D96813">
      <w:pPr>
        <w:pStyle w:val="TABLETITLE"/>
        <w:framePr w:wrap="around"/>
      </w:pPr>
      <w:r>
        <w:lastRenderedPageBreak/>
        <w:t>TABLE 1</w:t>
      </w:r>
      <w:r>
        <w:br/>
      </w:r>
      <w:r w:rsidRPr="00E12B17">
        <w:t>U</w:t>
      </w:r>
      <w:r w:rsidR="00D96813" w:rsidRPr="00E12B17">
        <w:t>nits</w:t>
      </w:r>
      <w:r w:rsidRPr="00E12B17">
        <w:t xml:space="preserve"> for </w:t>
      </w:r>
      <w:r w:rsidR="00177B9E" w:rsidRPr="00E12B17">
        <w:t>Magnetic</w:t>
      </w:r>
      <w:r w:rsidRPr="00E12B17">
        <w:t xml:space="preserve"> Properties</w:t>
      </w:r>
    </w:p>
    <w:p w:rsidR="003410C8" w:rsidRDefault="00A64EB7">
      <w:pPr>
        <w:pStyle w:val="ART"/>
        <w:framePr w:w="5040" w:wrap="around" w:vAnchor="page" w:hAnchor="page" w:x="5999" w:y="1203"/>
        <w:rPr>
          <w:color w:val="000000"/>
        </w:rPr>
      </w:pPr>
      <w:r>
        <w:rPr>
          <w:noProof/>
          <w:color w:val="000000"/>
        </w:rPr>
        <w:drawing>
          <wp:inline distT="0" distB="0" distL="0" distR="0">
            <wp:extent cx="2914650" cy="2705100"/>
            <wp:effectExtent l="19050" t="0" r="0" b="0"/>
            <wp:docPr id="4" name="Picture 4" descr="Word template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ord template Table 1"/>
                    <pic:cNvPicPr>
                      <a:picLocks noChangeAspect="1" noChangeArrowheads="1"/>
                    </pic:cNvPicPr>
                  </pic:nvPicPr>
                  <pic:blipFill>
                    <a:blip r:embed="rId24"/>
                    <a:srcRect/>
                    <a:stretch>
                      <a:fillRect/>
                    </a:stretch>
                  </pic:blipFill>
                  <pic:spPr bwMode="auto">
                    <a:xfrm>
                      <a:off x="0" y="0"/>
                      <a:ext cx="2914650" cy="2705100"/>
                    </a:xfrm>
                    <a:prstGeom prst="rect">
                      <a:avLst/>
                    </a:prstGeom>
                    <a:noFill/>
                    <a:ln w="9525">
                      <a:noFill/>
                      <a:miter lim="800000"/>
                      <a:headEnd/>
                      <a:tailEnd/>
                    </a:ln>
                  </pic:spPr>
                </pic:pic>
              </a:graphicData>
            </a:graphic>
          </wp:inline>
        </w:drawing>
      </w:r>
    </w:p>
    <w:p w:rsidR="003410C8" w:rsidRDefault="003410C8">
      <w:pPr>
        <w:pStyle w:val="TABLEFOOTNOTE"/>
        <w:framePr w:w="5040" w:wrap="around" w:vAnchor="page" w:hAnchor="page" w:x="5999" w:y="1203"/>
        <w:rPr>
          <w:color w:val="000000"/>
          <w:spacing w:val="-2"/>
        </w:rPr>
      </w:pPr>
      <w:r>
        <w:rPr>
          <w:color w:val="000000"/>
          <w:spacing w:val="-2"/>
        </w:rPr>
        <w:t xml:space="preserve">Statements that serve as captions for the entire table do not need footnote letters. </w:t>
      </w:r>
    </w:p>
    <w:p w:rsidR="003410C8" w:rsidRDefault="003410C8">
      <w:pPr>
        <w:pStyle w:val="TABLEFOOTNOTE"/>
        <w:framePr w:w="5040" w:wrap="around" w:vAnchor="page" w:hAnchor="page" w:x="5999" w:y="1203"/>
        <w:spacing w:after="160"/>
        <w:rPr>
          <w:color w:val="000000"/>
        </w:rPr>
      </w:pPr>
      <w:proofErr w:type="spellStart"/>
      <w:r>
        <w:rPr>
          <w:i w:val="0"/>
          <w:iCs/>
          <w:color w:val="000000"/>
          <w:vertAlign w:val="superscript"/>
        </w:rPr>
        <w:t>a</w:t>
      </w:r>
      <w:r>
        <w:rPr>
          <w:color w:val="000000"/>
        </w:rPr>
        <w:t>Gaussian</w:t>
      </w:r>
      <w:proofErr w:type="spellEnd"/>
      <w:r>
        <w:rPr>
          <w:color w:val="000000"/>
        </w:rPr>
        <w:t xml:space="preserve"> units are the same as </w:t>
      </w:r>
      <w:proofErr w:type="spellStart"/>
      <w:r>
        <w:rPr>
          <w:color w:val="000000"/>
        </w:rPr>
        <w:t>cgs</w:t>
      </w:r>
      <w:proofErr w:type="spellEnd"/>
      <w:r>
        <w:rPr>
          <w:color w:val="000000"/>
        </w:rPr>
        <w:t xml:space="preserve"> emu for magnetostatics; Mx = </w:t>
      </w:r>
      <w:proofErr w:type="spellStart"/>
      <w:r>
        <w:rPr>
          <w:color w:val="000000"/>
        </w:rPr>
        <w:t>maxwell</w:t>
      </w:r>
      <w:proofErr w:type="spellEnd"/>
      <w:r>
        <w:rPr>
          <w:color w:val="000000"/>
        </w:rPr>
        <w:t xml:space="preserve">, G = gauss, </w:t>
      </w:r>
      <w:proofErr w:type="spellStart"/>
      <w:r>
        <w:rPr>
          <w:color w:val="000000"/>
        </w:rPr>
        <w:t>Oe</w:t>
      </w:r>
      <w:proofErr w:type="spellEnd"/>
      <w:r>
        <w:rPr>
          <w:color w:val="000000"/>
        </w:rPr>
        <w:t xml:space="preserve"> = oersted; Wb = weber, V = volt, s = second, T = tesla, m = meter, A = ampere, J = joule, kg = kilogram, H = henry.</w:t>
      </w:r>
    </w:p>
    <w:p w:rsidR="003410C8" w:rsidRDefault="003410C8">
      <w:pPr>
        <w:pStyle w:val="Heading2"/>
      </w:pPr>
      <w:r>
        <w:t>6.4</w:t>
      </w:r>
      <w:r>
        <w:tab/>
        <w:t>Lists</w:t>
      </w:r>
    </w:p>
    <w:p w:rsidR="003410C8" w:rsidRDefault="003410C8">
      <w:pPr>
        <w:pStyle w:val="PARAGRAPHnoindent"/>
        <w:rPr>
          <w:color w:val="000000"/>
        </w:rPr>
      </w:pPr>
      <w:r>
        <w:rPr>
          <w:color w:val="000000"/>
        </w:rPr>
        <w:t>The IEEE Computer Society style is to create displayed lists if the number of items in the list is longer than three. For example, within the text lists would appear 1) using a number, 2) followed by a close parenthesis. However, longer lists will be formatted so that:</w:t>
      </w:r>
    </w:p>
    <w:p w:rsidR="003410C8" w:rsidRDefault="003410C8">
      <w:pPr>
        <w:pStyle w:val="PARAGRAPH"/>
        <w:numPr>
          <w:ilvl w:val="0"/>
          <w:numId w:val="38"/>
        </w:numPr>
        <w:rPr>
          <w:color w:val="000000"/>
        </w:rPr>
      </w:pPr>
      <w:r>
        <w:rPr>
          <w:color w:val="000000"/>
        </w:rPr>
        <w:t>Items will be set outside of the paragraphs.</w:t>
      </w:r>
    </w:p>
    <w:p w:rsidR="003410C8" w:rsidRDefault="003410C8">
      <w:pPr>
        <w:pStyle w:val="PARAGRAPH"/>
        <w:numPr>
          <w:ilvl w:val="0"/>
          <w:numId w:val="38"/>
        </w:numPr>
        <w:rPr>
          <w:color w:val="000000"/>
        </w:rPr>
      </w:pPr>
      <w:r>
        <w:rPr>
          <w:color w:val="000000"/>
        </w:rPr>
        <w:t>Items will be punctuated as sentences where it is appropriate.</w:t>
      </w:r>
    </w:p>
    <w:p w:rsidR="003410C8" w:rsidRDefault="003410C8">
      <w:pPr>
        <w:pStyle w:val="PARAGRAPH"/>
        <w:numPr>
          <w:ilvl w:val="0"/>
          <w:numId w:val="38"/>
        </w:numPr>
        <w:rPr>
          <w:color w:val="000000"/>
        </w:rPr>
      </w:pPr>
      <w:r>
        <w:rPr>
          <w:color w:val="000000"/>
        </w:rPr>
        <w:t>Items will be numbered, followed by a period.</w:t>
      </w:r>
    </w:p>
    <w:p w:rsidR="003410C8" w:rsidRDefault="003410C8">
      <w:pPr>
        <w:pStyle w:val="Heading2"/>
        <w:rPr>
          <w:color w:val="000000"/>
        </w:rPr>
      </w:pPr>
      <w:r>
        <w:rPr>
          <w:color w:val="000000"/>
        </w:rPr>
        <w:t>6.5</w:t>
      </w:r>
      <w:r>
        <w:rPr>
          <w:color w:val="000000"/>
        </w:rPr>
        <w:tab/>
        <w:t>Theorems and Proofs</w:t>
      </w:r>
    </w:p>
    <w:p w:rsidR="003410C8" w:rsidRDefault="003410C8">
      <w:pPr>
        <w:pStyle w:val="PARAGRAPHnoindent"/>
        <w:rPr>
          <w:color w:val="000000"/>
          <w:spacing w:val="-4"/>
        </w:rPr>
      </w:pPr>
      <w:r>
        <w:rPr>
          <w:color w:val="000000"/>
          <w:spacing w:val="-4"/>
        </w:rPr>
        <w:t>Theorems and related structures, such as axioms corollaries, and lemmas, are formatted using a hanging indent paragraph. They begin with a title and are followed by the text, in italics.</w:t>
      </w:r>
    </w:p>
    <w:p w:rsidR="003410C8" w:rsidRDefault="003410C8">
      <w:pPr>
        <w:pStyle w:val="PARAGRAPH"/>
        <w:spacing w:before="80" w:after="80"/>
        <w:ind w:left="245" w:hanging="245"/>
        <w:rPr>
          <w:i/>
          <w:iCs/>
          <w:color w:val="000000"/>
        </w:rPr>
      </w:pPr>
      <w:r>
        <w:rPr>
          <w:b/>
          <w:bCs/>
          <w:color w:val="000000"/>
        </w:rPr>
        <w:t>Theorem 1.</w:t>
      </w:r>
      <w:r>
        <w:rPr>
          <w:color w:val="000000"/>
        </w:rPr>
        <w:t xml:space="preserve"> </w:t>
      </w:r>
      <w:r>
        <w:rPr>
          <w:i/>
          <w:iCs/>
          <w:color w:val="000000"/>
        </w:rPr>
        <w:t>Theorems, corollaries, lemmas, and related structures follow this format. They do not need to be numbered, but are generally numbered sequentially.</w:t>
      </w:r>
    </w:p>
    <w:p w:rsidR="003410C8" w:rsidRDefault="003410C8">
      <w:pPr>
        <w:pStyle w:val="PARAGRAPHnoindent"/>
        <w:rPr>
          <w:color w:val="000000"/>
        </w:rPr>
      </w:pPr>
      <w:r>
        <w:rPr>
          <w:color w:val="000000"/>
        </w:rPr>
        <w:t>Proofs are formatted using the same hanging indent format. However, they are not italicized.</w:t>
      </w:r>
    </w:p>
    <w:p w:rsidR="003410C8" w:rsidRDefault="003410C8">
      <w:pPr>
        <w:pStyle w:val="PARAGRAPH"/>
        <w:tabs>
          <w:tab w:val="right" w:pos="5040"/>
        </w:tabs>
        <w:spacing w:before="80"/>
        <w:ind w:left="245" w:hanging="245"/>
        <w:rPr>
          <w:rFonts w:ascii="Wingdings" w:hAnsi="Wingdings"/>
          <w:color w:val="000000"/>
          <w:spacing w:val="-2"/>
        </w:rPr>
      </w:pPr>
      <w:r>
        <w:rPr>
          <w:b/>
          <w:bCs/>
          <w:color w:val="000000"/>
          <w:spacing w:val="-2"/>
        </w:rPr>
        <w:t>Proof.</w:t>
      </w:r>
      <w:r>
        <w:rPr>
          <w:color w:val="000000"/>
          <w:spacing w:val="-2"/>
        </w:rPr>
        <w:t xml:space="preserve"> The same format should be used for structures such as remarks, examples, and solutions (though these would not have a Q.E.D. box at the end as a proof does).</w:t>
      </w:r>
      <w:r>
        <w:rPr>
          <w:color w:val="000000"/>
          <w:spacing w:val="-2"/>
        </w:rPr>
        <w:tab/>
      </w:r>
      <w:r>
        <w:rPr>
          <w:rFonts w:ascii="Wingdings" w:hAnsi="Wingdings"/>
          <w:color w:val="000000"/>
          <w:spacing w:val="-2"/>
        </w:rPr>
        <w:t></w:t>
      </w:r>
    </w:p>
    <w:p w:rsidR="003410C8" w:rsidRDefault="003410C8">
      <w:pPr>
        <w:pStyle w:val="Heading1"/>
        <w:rPr>
          <w:color w:val="000000"/>
        </w:rPr>
      </w:pPr>
      <w:r>
        <w:rPr>
          <w:color w:val="000000"/>
        </w:rPr>
        <w:t>7</w:t>
      </w:r>
      <w:r>
        <w:rPr>
          <w:color w:val="000000"/>
        </w:rPr>
        <w:tab/>
        <w:t>End Sections</w:t>
      </w:r>
    </w:p>
    <w:p w:rsidR="003410C8" w:rsidRDefault="003410C8">
      <w:pPr>
        <w:pStyle w:val="Heading2"/>
        <w:numPr>
          <w:ilvl w:val="1"/>
          <w:numId w:val="39"/>
        </w:numPr>
        <w:spacing w:before="0"/>
        <w:rPr>
          <w:color w:val="000000"/>
        </w:rPr>
      </w:pPr>
      <w:r>
        <w:rPr>
          <w:color w:val="000000"/>
        </w:rPr>
        <w:t>Appendices</w:t>
      </w:r>
    </w:p>
    <w:p w:rsidR="003410C8" w:rsidRDefault="003410C8">
      <w:pPr>
        <w:pStyle w:val="PARAGRAPHnoindent"/>
        <w:rPr>
          <w:color w:val="000000"/>
          <w:spacing w:val="-4"/>
        </w:rPr>
      </w:pPr>
      <w:r>
        <w:rPr>
          <w:color w:val="000000"/>
          <w:spacing w:val="-4"/>
        </w:rPr>
        <w:t>Appendi</w:t>
      </w:r>
      <w:r w:rsidR="005348DB">
        <w:rPr>
          <w:color w:val="000000"/>
          <w:spacing w:val="-4"/>
        </w:rPr>
        <w:t>c</w:t>
      </w:r>
      <w:r>
        <w:rPr>
          <w:color w:val="000000"/>
          <w:spacing w:val="-4"/>
        </w:rPr>
        <w:t xml:space="preserve">es, if </w:t>
      </w:r>
      <w:proofErr w:type="gramStart"/>
      <w:r w:rsidR="005348DB">
        <w:rPr>
          <w:color w:val="000000"/>
          <w:spacing w:val="-4"/>
        </w:rPr>
        <w:t>present</w:t>
      </w:r>
      <w:r>
        <w:rPr>
          <w:color w:val="000000"/>
          <w:spacing w:val="-4"/>
        </w:rPr>
        <w:t>,</w:t>
      </w:r>
      <w:r w:rsidR="005348DB">
        <w:rPr>
          <w:color w:val="000000"/>
          <w:spacing w:val="-4"/>
        </w:rPr>
        <w:t xml:space="preserve"> </w:t>
      </w:r>
      <w:r>
        <w:rPr>
          <w:color w:val="000000"/>
          <w:spacing w:val="-4"/>
        </w:rPr>
        <w:t xml:space="preserve"> </w:t>
      </w:r>
      <w:r w:rsidRPr="00E12B17">
        <w:rPr>
          <w:spacing w:val="-4"/>
        </w:rPr>
        <w:t>appear</w:t>
      </w:r>
      <w:proofErr w:type="gramEnd"/>
      <w:r w:rsidRPr="00E12B17">
        <w:rPr>
          <w:spacing w:val="-4"/>
        </w:rPr>
        <w:t xml:space="preserve"> </w:t>
      </w:r>
      <w:r w:rsidR="005348DB" w:rsidRPr="00E12B17">
        <w:rPr>
          <w:spacing w:val="-4"/>
        </w:rPr>
        <w:t>online as supplemental material</w:t>
      </w:r>
      <w:r>
        <w:rPr>
          <w:color w:val="000000"/>
          <w:spacing w:val="-4"/>
        </w:rPr>
        <w:t xml:space="preserve">. In the event multiple appendices are required, they will be labeled “Appendix A,” “Appendix B, </w:t>
      </w:r>
      <w:proofErr w:type="gramStart"/>
      <w:r>
        <w:rPr>
          <w:color w:val="000000"/>
          <w:spacing w:val="-4"/>
        </w:rPr>
        <w:t>“ etc.</w:t>
      </w:r>
      <w:proofErr w:type="gramEnd"/>
    </w:p>
    <w:p w:rsidR="003410C8" w:rsidRDefault="003410C8">
      <w:pPr>
        <w:pStyle w:val="PARAGRAPH"/>
        <w:rPr>
          <w:color w:val="000000"/>
        </w:rPr>
      </w:pPr>
      <w:r>
        <w:rPr>
          <w:color w:val="000000"/>
        </w:rPr>
        <w:t xml:space="preserve">IEEE Computer Society Transactions accepts supplemental materials for review with regular paper submissions. These materials may be published on our Digital Library with the electronic version of the paper and are available for free to Digital Library visitors. Please see our guidelines below for file specifications and information. Any submitted materials that do not follow these specifications will not be accepted. All materials must follow US copyright guidelines and may not include material previously copyrighted by another author, organization or company. More information can be found at </w:t>
      </w:r>
      <w:hyperlink r:id="rId25" w:anchor="supplemental" w:history="1">
        <w:r w:rsidR="005348DB" w:rsidRPr="00E12B17">
          <w:rPr>
            <w:rStyle w:val="Hyperlink"/>
            <w:color w:val="1F497D" w:themeColor="text2"/>
          </w:rPr>
          <w:t>http://www.computer.org/portal/web/peerreviewjournals/author#supplemental</w:t>
        </w:r>
      </w:hyperlink>
      <w:r>
        <w:rPr>
          <w:color w:val="000000"/>
        </w:rPr>
        <w:t>.</w:t>
      </w:r>
    </w:p>
    <w:p w:rsidR="003410C8" w:rsidRDefault="003410C8">
      <w:pPr>
        <w:pStyle w:val="Heading2"/>
        <w:rPr>
          <w:color w:val="000000"/>
        </w:rPr>
      </w:pPr>
      <w:r>
        <w:rPr>
          <w:color w:val="000000"/>
        </w:rPr>
        <w:t>7.2</w:t>
      </w:r>
      <w:r>
        <w:rPr>
          <w:color w:val="000000"/>
        </w:rPr>
        <w:tab/>
        <w:t>Acknowledgments</w:t>
      </w:r>
    </w:p>
    <w:p w:rsidR="003410C8" w:rsidRPr="00E12B17" w:rsidRDefault="003410C8">
      <w:pPr>
        <w:pStyle w:val="PARAGRAPHnoindent"/>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Sponsor and financial support acknowledgments are included in the acknowledgment section. For example: This work was supported in part by the US Department of Commerce under Grant BS123456 (sponsor and financial support acknowledgment goes here). Researchers that contributed information or assistance to the article should also be acknowledged in this section.</w:t>
      </w:r>
      <w:r w:rsidR="005348DB">
        <w:rPr>
          <w:color w:val="000000"/>
        </w:rPr>
        <w:t xml:space="preserve"> </w:t>
      </w:r>
      <w:r w:rsidR="005348DB" w:rsidRPr="00E12B17">
        <w:t xml:space="preserve">Also, if corresponding authorship is noted in your paper it will be placed in the acknowledgment section. </w:t>
      </w:r>
      <w:r w:rsidR="00DD3B3D" w:rsidRPr="00E12B17">
        <w:t>Note that the acknowledgment section is placed at the end of the paper before the reference section.</w:t>
      </w:r>
    </w:p>
    <w:p w:rsidR="003410C8" w:rsidRDefault="003410C8">
      <w:pPr>
        <w:pStyle w:val="Heading2"/>
        <w:rPr>
          <w:color w:val="000000"/>
        </w:rPr>
      </w:pPr>
      <w:r>
        <w:rPr>
          <w:color w:val="000000"/>
        </w:rPr>
        <w:t>7.3</w:t>
      </w:r>
      <w:r>
        <w:rPr>
          <w:color w:val="000000"/>
        </w:rPr>
        <w:tab/>
        <w:t>References</w:t>
      </w:r>
    </w:p>
    <w:p w:rsidR="003410C8" w:rsidRDefault="003410C8">
      <w:pPr>
        <w:pStyle w:val="PARAGRAPHnoindent"/>
        <w:rPr>
          <w:color w:val="000000"/>
        </w:rPr>
      </w:pPr>
      <w:r>
        <w:rPr>
          <w:color w:val="000000"/>
        </w:rPr>
        <w:t xml:space="preserve">Unfortunately, the Computer Society document translator cannot handle automatic endnotes in Word; therefore, type the reference list at the end of the paper using the “References” style. See the IEEE Computer Society’s style for reference formatting at: </w:t>
      </w:r>
      <w:hyperlink r:id="rId26" w:history="1">
        <w:r w:rsidR="00DD3B3D" w:rsidRPr="00E12B17">
          <w:rPr>
            <w:rStyle w:val="Hyperlink"/>
            <w:color w:val="1F497D" w:themeColor="text2"/>
          </w:rPr>
          <w:t>http://www.computer.org/portal/web/publications/style_refs</w:t>
        </w:r>
      </w:hyperlink>
      <w:r>
        <w:rPr>
          <w:color w:val="000000"/>
        </w:rPr>
        <w:t xml:space="preserve">. The order in which the references are submitted in the manuscript is the order they will appear in the final paper, i.e., references submitted </w:t>
      </w:r>
      <w:proofErr w:type="spellStart"/>
      <w:r>
        <w:rPr>
          <w:color w:val="000000"/>
        </w:rPr>
        <w:t>nonalphabetized</w:t>
      </w:r>
      <w:proofErr w:type="spellEnd"/>
      <w:r>
        <w:rPr>
          <w:color w:val="000000"/>
        </w:rPr>
        <w:t xml:space="preserve"> will remain that way.</w:t>
      </w:r>
    </w:p>
    <w:p w:rsidR="003410C8" w:rsidRDefault="003410C8">
      <w:pPr>
        <w:pStyle w:val="PARAGRAPH"/>
        <w:rPr>
          <w:color w:val="000000"/>
        </w:rPr>
      </w:pPr>
      <w:r>
        <w:rPr>
          <w:color w:val="000000"/>
        </w:rPr>
        <w:t>Please note that the references at the end of this document are in the preferred referencing style. Within the text, use “et al.” when referencing a source with more than three authors. In the reference section, give all authors’ names; do not use “et al.” Do not place a space between an authors' initials. Papers that have not been published should be cited as “unpublished” [4]. Papers that have been submitted or accepted for publication should be cited as “submitted for publication” [5]. Please give affiliations and addresses for personal communications [6].</w:t>
      </w:r>
    </w:p>
    <w:p w:rsidR="003410C8" w:rsidRDefault="003410C8">
      <w:pPr>
        <w:pStyle w:val="PARAGRAPH"/>
        <w:rPr>
          <w:color w:val="000000"/>
        </w:rPr>
      </w:pPr>
      <w:r>
        <w:rPr>
          <w:color w:val="000000"/>
          <w:spacing w:val="-6"/>
        </w:rPr>
        <w:t>Capitalize all the words in a paper title. For papers published in journals</w:t>
      </w:r>
      <w:r w:rsidR="00AB633F">
        <w:rPr>
          <w:color w:val="000000"/>
          <w:spacing w:val="-6"/>
        </w:rPr>
        <w:t xml:space="preserve"> not published in English</w:t>
      </w:r>
      <w:r>
        <w:rPr>
          <w:color w:val="000000"/>
          <w:spacing w:val="-6"/>
        </w:rPr>
        <w:t>, please give the English citation first, followed by the original foreign-language citation [7].</w:t>
      </w:r>
    </w:p>
    <w:p w:rsidR="003410C8" w:rsidRDefault="003410C8">
      <w:pPr>
        <w:pStyle w:val="Heading2"/>
        <w:rPr>
          <w:color w:val="000000"/>
        </w:rPr>
      </w:pPr>
      <w:r>
        <w:rPr>
          <w:color w:val="000000"/>
        </w:rPr>
        <w:t>7.</w:t>
      </w:r>
      <w:r w:rsidR="00DD3B3D">
        <w:rPr>
          <w:color w:val="000000"/>
        </w:rPr>
        <w:t>4</w:t>
      </w:r>
      <w:r>
        <w:rPr>
          <w:color w:val="000000"/>
        </w:rPr>
        <w:tab/>
        <w:t>Additional Formatting and Style Resources</w:t>
      </w:r>
    </w:p>
    <w:p w:rsidR="003410C8" w:rsidRDefault="003410C8">
      <w:pPr>
        <w:pStyle w:val="PARAGRAPHnoindent"/>
        <w:rPr>
          <w:color w:val="000000"/>
        </w:rPr>
      </w:pPr>
      <w:r>
        <w:rPr>
          <w:color w:val="000000"/>
          <w:spacing w:val="-4"/>
        </w:rPr>
        <w:t xml:space="preserve">Additional information on formatting and style issues can be obtained in the IEEE Computer Society Style Guide, which is posted online at: </w:t>
      </w:r>
      <w:hyperlink r:id="rId27" w:history="1">
        <w:r w:rsidR="00DD3B3D" w:rsidRPr="00E12B17">
          <w:rPr>
            <w:rStyle w:val="Hyperlink"/>
            <w:color w:val="1F497D" w:themeColor="text2"/>
          </w:rPr>
          <w:t>http://www.computer.org/portal/web/publications/styleguide</w:t>
        </w:r>
      </w:hyperlink>
      <w:r>
        <w:rPr>
          <w:rStyle w:val="Url"/>
          <w:color w:val="000000"/>
        </w:rPr>
        <w:t>.</w:t>
      </w:r>
      <w:r>
        <w:rPr>
          <w:color w:val="000000"/>
          <w:spacing w:val="-4"/>
        </w:rPr>
        <w:t xml:space="preserve"> Click on the appropriate topic under the </w:t>
      </w:r>
      <w:r>
        <w:rPr>
          <w:color w:val="000000"/>
          <w:spacing w:val="-4"/>
        </w:rPr>
        <w:lastRenderedPageBreak/>
        <w:t>Special Sections link.</w:t>
      </w:r>
    </w:p>
    <w:p w:rsidR="003410C8" w:rsidRDefault="003410C8" w:rsidP="005348DB">
      <w:pPr>
        <w:pStyle w:val="Heading1"/>
        <w:numPr>
          <w:ilvl w:val="0"/>
          <w:numId w:val="39"/>
        </w:numPr>
        <w:rPr>
          <w:color w:val="000000"/>
        </w:rPr>
      </w:pPr>
      <w:r>
        <w:rPr>
          <w:color w:val="000000"/>
        </w:rPr>
        <w:t>Conclusion</w:t>
      </w:r>
    </w:p>
    <w:p w:rsidR="003410C8" w:rsidRDefault="003410C8">
      <w:pPr>
        <w:pStyle w:val="Text"/>
        <w:ind w:firstLine="0"/>
        <w:rPr>
          <w:rFonts w:ascii="Palatino" w:hAnsi="Palatino"/>
          <w:color w:val="000000"/>
        </w:rPr>
      </w:pPr>
      <w:r>
        <w:rPr>
          <w:rFonts w:ascii="Palatino" w:hAnsi="Palatino"/>
          <w:color w:val="000000"/>
        </w:rPr>
        <w:t xml:space="preserve">Although a conclusion may review the main points of the paper, do not replicate the abstract as the conclusion. A conclusion might elaborate on the importance of the work or suggest applications and extensions. Authors are strongly encouraged not to </w:t>
      </w:r>
      <w:r w:rsidR="00AB633F">
        <w:rPr>
          <w:rFonts w:ascii="Palatino" w:hAnsi="Palatino"/>
          <w:color w:val="000000"/>
        </w:rPr>
        <w:t>reference</w:t>
      </w:r>
      <w:r>
        <w:rPr>
          <w:rFonts w:ascii="Palatino" w:hAnsi="Palatino"/>
          <w:color w:val="000000"/>
        </w:rPr>
        <w:t xml:space="preserve"> multiple figures or tables in the conclusion—these should be referenced in the body of the paper.</w:t>
      </w:r>
    </w:p>
    <w:p w:rsidR="003410C8" w:rsidRDefault="003410C8">
      <w:pPr>
        <w:pStyle w:val="ReferenceHead"/>
        <w:jc w:val="left"/>
        <w:rPr>
          <w:rFonts w:ascii="Helvetica" w:hAnsi="Helvetica"/>
          <w:b/>
          <w:bCs/>
          <w:color w:val="000000"/>
          <w:sz w:val="22"/>
        </w:rPr>
      </w:pPr>
      <w:r>
        <w:rPr>
          <w:rFonts w:ascii="Helvetica" w:hAnsi="Helvetica"/>
          <w:b/>
          <w:bCs/>
          <w:color w:val="000000"/>
          <w:sz w:val="22"/>
        </w:rPr>
        <w:t>Acknowledgment</w:t>
      </w:r>
    </w:p>
    <w:p w:rsidR="003410C8" w:rsidRDefault="003410C8">
      <w:pPr>
        <w:pStyle w:val="PARAGRAPHnoindent"/>
        <w:rPr>
          <w:color w:val="000000"/>
        </w:rPr>
      </w:pPr>
      <w:r>
        <w:rPr>
          <w:color w:val="000000"/>
        </w:rPr>
        <w:t>The authors wish to thank A, B, C. This work was supported in part by a grant from XYZ.</w:t>
      </w:r>
    </w:p>
    <w:p w:rsidR="003410C8" w:rsidRDefault="003410C8">
      <w:pPr>
        <w:pStyle w:val="ReferenceHead"/>
        <w:jc w:val="left"/>
        <w:rPr>
          <w:rFonts w:ascii="Helvetica" w:hAnsi="Helvetica"/>
          <w:b/>
          <w:bCs/>
          <w:color w:val="000000"/>
          <w:sz w:val="22"/>
        </w:rPr>
      </w:pPr>
      <w:r>
        <w:rPr>
          <w:rFonts w:ascii="Helvetica" w:hAnsi="Helvetica"/>
          <w:b/>
          <w:bCs/>
          <w:color w:val="000000"/>
          <w:sz w:val="22"/>
        </w:rPr>
        <w:t>References</w:t>
      </w:r>
    </w:p>
    <w:p w:rsidR="003410C8" w:rsidRDefault="003410C8">
      <w:pPr>
        <w:numPr>
          <w:ilvl w:val="0"/>
          <w:numId w:val="22"/>
        </w:numPr>
        <w:rPr>
          <w:color w:val="000000"/>
          <w:sz w:val="16"/>
          <w:szCs w:val="16"/>
        </w:rPr>
      </w:pPr>
      <w:r>
        <w:rPr>
          <w:color w:val="000000"/>
          <w:spacing w:val="-8"/>
          <w:sz w:val="16"/>
          <w:szCs w:val="16"/>
        </w:rPr>
        <w:t xml:space="preserve">J.S. Bridle, “Probabilistic Interpretation of Feedforward Classification Network Outputs, with Relationships to Statistical Pattern Recognition,” </w:t>
      </w:r>
      <w:r>
        <w:rPr>
          <w:i/>
          <w:iCs/>
          <w:color w:val="000000"/>
          <w:spacing w:val="-8"/>
          <w:sz w:val="16"/>
          <w:szCs w:val="16"/>
        </w:rPr>
        <w:t>Neurocomputing—Algorithms, Architectures and Applications,</w:t>
      </w:r>
      <w:r>
        <w:rPr>
          <w:color w:val="000000"/>
          <w:spacing w:val="-8"/>
          <w:sz w:val="16"/>
          <w:szCs w:val="16"/>
        </w:rPr>
        <w:t xml:space="preserve"> F. Fogelman-</w:t>
      </w:r>
      <w:proofErr w:type="spellStart"/>
      <w:r>
        <w:rPr>
          <w:color w:val="000000"/>
          <w:spacing w:val="-8"/>
          <w:sz w:val="16"/>
          <w:szCs w:val="16"/>
        </w:rPr>
        <w:t>Soulie</w:t>
      </w:r>
      <w:proofErr w:type="spellEnd"/>
      <w:r>
        <w:rPr>
          <w:color w:val="000000"/>
          <w:spacing w:val="-8"/>
          <w:sz w:val="16"/>
          <w:szCs w:val="16"/>
        </w:rPr>
        <w:t xml:space="preserve"> and J. </w:t>
      </w:r>
      <w:proofErr w:type="spellStart"/>
      <w:r>
        <w:rPr>
          <w:color w:val="000000"/>
          <w:spacing w:val="-8"/>
          <w:sz w:val="16"/>
          <w:szCs w:val="16"/>
        </w:rPr>
        <w:t>Herault</w:t>
      </w:r>
      <w:proofErr w:type="spellEnd"/>
      <w:r>
        <w:rPr>
          <w:color w:val="000000"/>
          <w:spacing w:val="-8"/>
          <w:sz w:val="16"/>
          <w:szCs w:val="16"/>
        </w:rPr>
        <w:t>, eds., NATO ASI Series F68, Berlin: Springer-Verlag, pp. 227-236, 1989. (Book style with paper title and editor)</w:t>
      </w:r>
    </w:p>
    <w:p w:rsidR="003410C8" w:rsidRDefault="003410C8">
      <w:pPr>
        <w:numPr>
          <w:ilvl w:val="0"/>
          <w:numId w:val="22"/>
        </w:numPr>
        <w:rPr>
          <w:color w:val="000000"/>
          <w:sz w:val="16"/>
          <w:szCs w:val="16"/>
        </w:rPr>
      </w:pPr>
      <w:r>
        <w:rPr>
          <w:color w:val="000000"/>
          <w:sz w:val="16"/>
          <w:szCs w:val="16"/>
        </w:rPr>
        <w:t xml:space="preserve">W.-K. Chen, </w:t>
      </w:r>
      <w:r>
        <w:rPr>
          <w:i/>
          <w:iCs/>
          <w:color w:val="000000"/>
          <w:sz w:val="16"/>
          <w:szCs w:val="16"/>
        </w:rPr>
        <w:t>Linear Networks and Systems.</w:t>
      </w:r>
      <w:r>
        <w:rPr>
          <w:color w:val="000000"/>
          <w:sz w:val="16"/>
          <w:szCs w:val="16"/>
        </w:rPr>
        <w:t xml:space="preserve"> Belmont, Calif.: Wadsworth, pp. 123-135, 1993. (Book style)</w:t>
      </w:r>
    </w:p>
    <w:p w:rsidR="003410C8" w:rsidRDefault="003410C8">
      <w:pPr>
        <w:numPr>
          <w:ilvl w:val="0"/>
          <w:numId w:val="22"/>
        </w:numPr>
        <w:rPr>
          <w:color w:val="000000"/>
          <w:sz w:val="16"/>
        </w:rPr>
      </w:pPr>
      <w:r>
        <w:rPr>
          <w:color w:val="000000"/>
          <w:sz w:val="16"/>
        </w:rPr>
        <w:t xml:space="preserve">H. Poor, “A Hypertext History of Multiuser Dimensions,” </w:t>
      </w:r>
      <w:r>
        <w:rPr>
          <w:i/>
          <w:iCs/>
          <w:color w:val="000000"/>
          <w:sz w:val="16"/>
        </w:rPr>
        <w:t>MUD History,</w:t>
      </w:r>
      <w:r>
        <w:rPr>
          <w:color w:val="000000"/>
          <w:sz w:val="16"/>
        </w:rPr>
        <w:t xml:space="preserve"> http://www.ccs.neu.edu/home/pb/mud-history.html. 1986. (URL link *include year)</w:t>
      </w:r>
    </w:p>
    <w:p w:rsidR="003410C8" w:rsidRDefault="003410C8">
      <w:pPr>
        <w:numPr>
          <w:ilvl w:val="0"/>
          <w:numId w:val="22"/>
        </w:numPr>
        <w:rPr>
          <w:color w:val="000000"/>
          <w:sz w:val="16"/>
        </w:rPr>
      </w:pPr>
      <w:r>
        <w:rPr>
          <w:color w:val="000000"/>
          <w:sz w:val="16"/>
        </w:rPr>
        <w:t>K. Elissa, “An Overview of Decision Theory,"</w:t>
      </w:r>
      <w:r>
        <w:rPr>
          <w:i/>
          <w:iCs/>
          <w:color w:val="000000"/>
          <w:sz w:val="16"/>
        </w:rPr>
        <w:t xml:space="preserve"> </w:t>
      </w:r>
      <w:r>
        <w:rPr>
          <w:color w:val="000000"/>
          <w:sz w:val="16"/>
        </w:rPr>
        <w:t>unpublished. (Unpublished manuscript)</w:t>
      </w:r>
    </w:p>
    <w:p w:rsidR="003410C8" w:rsidRDefault="003410C8">
      <w:pPr>
        <w:numPr>
          <w:ilvl w:val="0"/>
          <w:numId w:val="22"/>
        </w:numPr>
        <w:rPr>
          <w:color w:val="000000"/>
          <w:sz w:val="16"/>
        </w:rPr>
      </w:pPr>
      <w:r>
        <w:rPr>
          <w:color w:val="000000"/>
          <w:sz w:val="16"/>
        </w:rPr>
        <w:t xml:space="preserve">R. Nicole, "The Last Word on Decision Theory," </w:t>
      </w:r>
      <w:r>
        <w:rPr>
          <w:i/>
          <w:iCs/>
          <w:color w:val="000000"/>
          <w:sz w:val="16"/>
        </w:rPr>
        <w:t xml:space="preserve">J. Computer Vision, </w:t>
      </w:r>
      <w:r>
        <w:rPr>
          <w:color w:val="000000"/>
          <w:sz w:val="16"/>
        </w:rPr>
        <w:t>submitted for publication. (Pending publication)</w:t>
      </w:r>
    </w:p>
    <w:p w:rsidR="003410C8" w:rsidRDefault="003410C8">
      <w:pPr>
        <w:numPr>
          <w:ilvl w:val="0"/>
          <w:numId w:val="22"/>
        </w:numPr>
        <w:rPr>
          <w:color w:val="000000"/>
          <w:sz w:val="16"/>
        </w:rPr>
      </w:pPr>
      <w:r>
        <w:rPr>
          <w:color w:val="000000"/>
          <w:sz w:val="16"/>
        </w:rPr>
        <w:t>C. J. Kaufman, Rocky Mountain Research Laboratories, Boulder, Colo., personal communication, 1992. (Personal communication)</w:t>
      </w:r>
    </w:p>
    <w:p w:rsidR="003410C8" w:rsidRDefault="00FF5190">
      <w:pPr>
        <w:numPr>
          <w:ilvl w:val="0"/>
          <w:numId w:val="22"/>
        </w:numPr>
        <w:rPr>
          <w:color w:val="000000"/>
          <w:sz w:val="16"/>
          <w:szCs w:val="16"/>
        </w:rPr>
      </w:pPr>
      <w:r w:rsidRPr="00FF5190">
        <w:rPr>
          <w:rFonts w:cs="Tms Rmn"/>
          <w:color w:val="000000"/>
          <w:kern w:val="0"/>
          <w:sz w:val="16"/>
          <w:szCs w:val="16"/>
        </w:rPr>
        <w:t xml:space="preserve">D.S. Coming and O.G. </w:t>
      </w:r>
      <w:proofErr w:type="spellStart"/>
      <w:r w:rsidRPr="00FF5190">
        <w:rPr>
          <w:rFonts w:cs="Tms Rmn"/>
          <w:color w:val="000000"/>
          <w:kern w:val="0"/>
          <w:sz w:val="16"/>
          <w:szCs w:val="16"/>
        </w:rPr>
        <w:t>Staadt</w:t>
      </w:r>
      <w:proofErr w:type="spellEnd"/>
      <w:r w:rsidRPr="00FF5190">
        <w:rPr>
          <w:rFonts w:cs="Tms Rmn"/>
          <w:color w:val="000000"/>
          <w:kern w:val="0"/>
          <w:sz w:val="16"/>
          <w:szCs w:val="16"/>
        </w:rPr>
        <w:t xml:space="preserve">, "Velocity-Aligned Discrete Oriented Polytopes for Dynamic Collision Detection," </w:t>
      </w:r>
      <w:r w:rsidRPr="00FF5190">
        <w:rPr>
          <w:rFonts w:cs="Tms Rmn"/>
          <w:i/>
          <w:iCs/>
          <w:color w:val="000000"/>
          <w:kern w:val="0"/>
          <w:sz w:val="16"/>
          <w:szCs w:val="16"/>
        </w:rPr>
        <w:t>IEEE Trans. Visualization and Computer Graphics</w:t>
      </w:r>
      <w:r w:rsidRPr="00FF5190">
        <w:rPr>
          <w:rFonts w:cs="Tms Rmn"/>
          <w:color w:val="000000"/>
          <w:kern w:val="0"/>
          <w:sz w:val="16"/>
          <w:szCs w:val="16"/>
        </w:rPr>
        <w:t>, vol. </w:t>
      </w:r>
      <w:proofErr w:type="gramStart"/>
      <w:r w:rsidRPr="00FF5190">
        <w:rPr>
          <w:rFonts w:cs="Tms Rmn"/>
          <w:color w:val="000000"/>
          <w:kern w:val="0"/>
          <w:sz w:val="16"/>
          <w:szCs w:val="16"/>
        </w:rPr>
        <w:t>14,  no.</w:t>
      </w:r>
      <w:proofErr w:type="gramEnd"/>
      <w:r w:rsidRPr="00FF5190">
        <w:rPr>
          <w:rFonts w:cs="Tms Rmn"/>
          <w:color w:val="000000"/>
          <w:kern w:val="0"/>
          <w:sz w:val="16"/>
          <w:szCs w:val="16"/>
        </w:rPr>
        <w:t xml:space="preserve"> 1,  pp. 1-12,  Jan/Feb  2008, </w:t>
      </w:r>
      <w:r w:rsidRPr="00E12B17">
        <w:rPr>
          <w:rFonts w:cs="Tms Rmn"/>
          <w:color w:val="000000"/>
          <w:kern w:val="0"/>
          <w:sz w:val="16"/>
          <w:szCs w:val="16"/>
        </w:rPr>
        <w:t>doi:10.1109/TVCG.2007.70405</w:t>
      </w:r>
      <w:r w:rsidR="00E12B17" w:rsidRPr="00E12B17">
        <w:rPr>
          <w:spacing w:val="-8"/>
          <w:sz w:val="16"/>
        </w:rPr>
        <w:t>.</w:t>
      </w:r>
      <w:r w:rsidR="003410C8">
        <w:rPr>
          <w:color w:val="000000"/>
          <w:spacing w:val="-8"/>
          <w:sz w:val="16"/>
        </w:rPr>
        <w:t xml:space="preserve"> (IEEE </w:t>
      </w:r>
      <w:proofErr w:type="gramStart"/>
      <w:r w:rsidR="003410C8">
        <w:rPr>
          <w:color w:val="000000"/>
          <w:spacing w:val="-8"/>
          <w:sz w:val="16"/>
        </w:rPr>
        <w:t>Transactions )</w:t>
      </w:r>
      <w:proofErr w:type="gramEnd"/>
    </w:p>
    <w:p w:rsidR="003410C8" w:rsidRDefault="003410C8">
      <w:pPr>
        <w:numPr>
          <w:ilvl w:val="0"/>
          <w:numId w:val="22"/>
        </w:numPr>
        <w:rPr>
          <w:color w:val="000000"/>
          <w:sz w:val="16"/>
          <w:szCs w:val="16"/>
        </w:rPr>
      </w:pPr>
      <w:r>
        <w:rPr>
          <w:color w:val="000000"/>
          <w:sz w:val="16"/>
          <w:szCs w:val="16"/>
        </w:rPr>
        <w:t xml:space="preserve">S.P. </w:t>
      </w:r>
      <w:proofErr w:type="spellStart"/>
      <w:r>
        <w:rPr>
          <w:color w:val="000000"/>
          <w:sz w:val="16"/>
          <w:szCs w:val="16"/>
        </w:rPr>
        <w:t>Bingulac</w:t>
      </w:r>
      <w:proofErr w:type="spellEnd"/>
      <w:r>
        <w:rPr>
          <w:color w:val="000000"/>
          <w:sz w:val="16"/>
          <w:szCs w:val="16"/>
        </w:rPr>
        <w:t xml:space="preserve">, “On the Compatibility of Adaptive Controllers,” </w:t>
      </w:r>
      <w:r>
        <w:rPr>
          <w:i/>
          <w:iCs/>
          <w:color w:val="000000"/>
          <w:sz w:val="16"/>
          <w:szCs w:val="16"/>
        </w:rPr>
        <w:t>Proc. Fourth Ann. Allerton Conf. Circuits and Systems Theory</w:t>
      </w:r>
      <w:r>
        <w:rPr>
          <w:color w:val="000000"/>
          <w:sz w:val="16"/>
          <w:szCs w:val="16"/>
        </w:rPr>
        <w:t>, pp. 8-16, 1994. (Conference proceedings)</w:t>
      </w:r>
    </w:p>
    <w:p w:rsidR="003410C8" w:rsidRDefault="00FF5190">
      <w:pPr>
        <w:numPr>
          <w:ilvl w:val="0"/>
          <w:numId w:val="22"/>
        </w:numPr>
        <w:rPr>
          <w:color w:val="000000"/>
          <w:sz w:val="16"/>
          <w:szCs w:val="16"/>
        </w:rPr>
      </w:pPr>
      <w:r w:rsidRPr="00FF5190">
        <w:rPr>
          <w:color w:val="000000"/>
          <w:kern w:val="0"/>
          <w:sz w:val="16"/>
          <w:szCs w:val="16"/>
        </w:rPr>
        <w:t xml:space="preserve">H. </w:t>
      </w:r>
      <w:proofErr w:type="spellStart"/>
      <w:r w:rsidRPr="00FF5190">
        <w:rPr>
          <w:color w:val="000000"/>
          <w:kern w:val="0"/>
          <w:sz w:val="16"/>
          <w:szCs w:val="16"/>
        </w:rPr>
        <w:t>Goto</w:t>
      </w:r>
      <w:proofErr w:type="spellEnd"/>
      <w:r w:rsidRPr="00FF5190">
        <w:rPr>
          <w:color w:val="000000"/>
          <w:kern w:val="0"/>
          <w:sz w:val="16"/>
          <w:szCs w:val="16"/>
        </w:rPr>
        <w:t xml:space="preserve">, Y. Hasegawa, and M. Tanaka, “Efficient Scheduling Focusing on the Duality of MPL Representation,” </w:t>
      </w:r>
      <w:r w:rsidRPr="00FF5190">
        <w:rPr>
          <w:i/>
          <w:iCs/>
          <w:color w:val="000000"/>
          <w:kern w:val="0"/>
          <w:sz w:val="16"/>
          <w:szCs w:val="16"/>
        </w:rPr>
        <w:t xml:space="preserve">Proc. IEEE </w:t>
      </w:r>
      <w:proofErr w:type="spellStart"/>
      <w:r w:rsidRPr="00FF5190">
        <w:rPr>
          <w:i/>
          <w:iCs/>
          <w:color w:val="000000"/>
          <w:kern w:val="0"/>
          <w:sz w:val="16"/>
          <w:szCs w:val="16"/>
        </w:rPr>
        <w:t>Symp</w:t>
      </w:r>
      <w:proofErr w:type="spellEnd"/>
      <w:r w:rsidRPr="00FF5190">
        <w:rPr>
          <w:i/>
          <w:iCs/>
          <w:color w:val="000000"/>
          <w:kern w:val="0"/>
          <w:sz w:val="16"/>
          <w:szCs w:val="16"/>
        </w:rPr>
        <w:t>. Computational Intelligence in Scheduling</w:t>
      </w:r>
      <w:r w:rsidRPr="00FF5190">
        <w:rPr>
          <w:color w:val="000000"/>
          <w:kern w:val="0"/>
          <w:sz w:val="16"/>
          <w:szCs w:val="16"/>
        </w:rPr>
        <w:t xml:space="preserve"> </w:t>
      </w:r>
      <w:r w:rsidRPr="00FF5190">
        <w:rPr>
          <w:i/>
          <w:iCs/>
          <w:color w:val="000000"/>
          <w:kern w:val="0"/>
          <w:sz w:val="16"/>
          <w:szCs w:val="16"/>
        </w:rPr>
        <w:t>(SCIS ’07)</w:t>
      </w:r>
      <w:r w:rsidRPr="00FF5190">
        <w:rPr>
          <w:color w:val="000000"/>
          <w:kern w:val="0"/>
          <w:sz w:val="16"/>
          <w:szCs w:val="16"/>
        </w:rPr>
        <w:t xml:space="preserve">, pp. 57-64, Apr. 2007, </w:t>
      </w:r>
      <w:r w:rsidRPr="00E12B17">
        <w:rPr>
          <w:color w:val="000000"/>
          <w:kern w:val="0"/>
          <w:sz w:val="16"/>
          <w:szCs w:val="16"/>
        </w:rPr>
        <w:t>doi:10.1109/SCIS.2007.367670</w:t>
      </w:r>
      <w:r>
        <w:rPr>
          <w:rFonts w:ascii="Times New Roman" w:hAnsi="Times New Roman"/>
          <w:color w:val="000000"/>
          <w:kern w:val="0"/>
          <w:sz w:val="22"/>
          <w:szCs w:val="22"/>
        </w:rPr>
        <w:t>.</w:t>
      </w:r>
      <w:r w:rsidR="003410C8">
        <w:rPr>
          <w:color w:val="000000"/>
          <w:sz w:val="16"/>
          <w:szCs w:val="16"/>
        </w:rPr>
        <w:t xml:space="preserve"> (Conference proceedings)</w:t>
      </w:r>
    </w:p>
    <w:p w:rsidR="003410C8" w:rsidRDefault="003410C8">
      <w:pPr>
        <w:numPr>
          <w:ilvl w:val="0"/>
          <w:numId w:val="22"/>
        </w:numPr>
        <w:rPr>
          <w:color w:val="000000"/>
          <w:sz w:val="16"/>
          <w:szCs w:val="16"/>
        </w:rPr>
      </w:pPr>
      <w:r>
        <w:rPr>
          <w:color w:val="000000"/>
          <w:spacing w:val="-2"/>
          <w:sz w:val="16"/>
        </w:rPr>
        <w:t>J. Williams, “Narrow-Band Analyzer,” PhD dissertation, Dept. of Electrical Eng., Harvard Univ., Cambridge, Mass., 1993. (Thesis or dissertation)</w:t>
      </w:r>
    </w:p>
    <w:p w:rsidR="003410C8" w:rsidRDefault="003410C8">
      <w:pPr>
        <w:numPr>
          <w:ilvl w:val="0"/>
          <w:numId w:val="22"/>
        </w:numPr>
        <w:rPr>
          <w:color w:val="000000"/>
          <w:sz w:val="16"/>
        </w:rPr>
      </w:pPr>
      <w:r>
        <w:rPr>
          <w:color w:val="000000"/>
          <w:sz w:val="16"/>
        </w:rPr>
        <w:t xml:space="preserve">E.E. </w:t>
      </w:r>
      <w:proofErr w:type="spellStart"/>
      <w:r>
        <w:rPr>
          <w:color w:val="000000"/>
          <w:sz w:val="16"/>
        </w:rPr>
        <w:t>Reber</w:t>
      </w:r>
      <w:proofErr w:type="spellEnd"/>
      <w:r>
        <w:rPr>
          <w:color w:val="000000"/>
          <w:sz w:val="16"/>
        </w:rPr>
        <w:t>, R.L. Michell, and C.J. Carter, “Oxygen Absorption in the Earth’s Atmosphere,” Technical Report TR-0200 (420-46)-3, Aerospace Corp., Los Angeles, Calif., Nov. 1988. (Technical report with report number)</w:t>
      </w:r>
    </w:p>
    <w:p w:rsidR="003410C8" w:rsidRDefault="003410C8">
      <w:pPr>
        <w:pStyle w:val="References"/>
        <w:numPr>
          <w:ilvl w:val="0"/>
          <w:numId w:val="22"/>
        </w:numPr>
        <w:rPr>
          <w:rFonts w:ascii="Palatino" w:hAnsi="Palatino"/>
          <w:color w:val="000000"/>
        </w:rPr>
      </w:pPr>
      <w:r>
        <w:rPr>
          <w:rFonts w:ascii="Palatino" w:hAnsi="Palatino"/>
          <w:color w:val="000000"/>
        </w:rPr>
        <w:t xml:space="preserve">L. Hubert and P. </w:t>
      </w:r>
      <w:proofErr w:type="spellStart"/>
      <w:r>
        <w:rPr>
          <w:rFonts w:ascii="Palatino" w:hAnsi="Palatino"/>
          <w:color w:val="000000"/>
        </w:rPr>
        <w:t>Arabie</w:t>
      </w:r>
      <w:proofErr w:type="spellEnd"/>
      <w:r>
        <w:rPr>
          <w:rFonts w:ascii="Palatino" w:hAnsi="Palatino"/>
          <w:color w:val="000000"/>
        </w:rPr>
        <w:t xml:space="preserve">, “Comparing Partitions,” </w:t>
      </w:r>
      <w:r>
        <w:rPr>
          <w:rFonts w:ascii="Palatino" w:hAnsi="Palatino"/>
          <w:i/>
          <w:iCs/>
          <w:color w:val="000000"/>
        </w:rPr>
        <w:t>J. Classification,</w:t>
      </w:r>
      <w:r>
        <w:rPr>
          <w:rFonts w:ascii="Palatino" w:hAnsi="Palatino"/>
          <w:color w:val="000000"/>
        </w:rPr>
        <w:t xml:space="preserve"> vol. 2, no. 4, pp. 193-218, Apr. 1985. (Journal or magazine citation)</w:t>
      </w:r>
    </w:p>
    <w:p w:rsidR="003410C8" w:rsidRDefault="003410C8">
      <w:pPr>
        <w:pStyle w:val="References"/>
        <w:numPr>
          <w:ilvl w:val="0"/>
          <w:numId w:val="22"/>
        </w:numPr>
        <w:rPr>
          <w:rFonts w:ascii="Palatino" w:hAnsi="Palatino"/>
          <w:color w:val="000000"/>
          <w:spacing w:val="-6"/>
        </w:rPr>
      </w:pPr>
      <w:r>
        <w:rPr>
          <w:rFonts w:ascii="Palatino" w:hAnsi="Palatino"/>
          <w:color w:val="000000"/>
          <w:spacing w:val="-6"/>
        </w:rPr>
        <w:t xml:space="preserve">R.J. Vidmar, “On the Use of Atmospheric Plasmas as Electromagnetic Reflectors,” </w:t>
      </w:r>
      <w:r>
        <w:rPr>
          <w:rFonts w:ascii="Palatino" w:hAnsi="Palatino"/>
          <w:i/>
          <w:iCs/>
          <w:color w:val="000000"/>
          <w:spacing w:val="-6"/>
        </w:rPr>
        <w:t>IEEE Trans. Plasma Science</w:t>
      </w:r>
      <w:r>
        <w:rPr>
          <w:rFonts w:ascii="Palatino" w:hAnsi="Palatino"/>
          <w:color w:val="000000"/>
          <w:spacing w:val="-6"/>
        </w:rPr>
        <w:t xml:space="preserve">, vol. 21, no. 3, pp. 876-880, </w:t>
      </w:r>
      <w:r>
        <w:rPr>
          <w:rFonts w:ascii="Palatino" w:hAnsi="Palatino"/>
          <w:color w:val="000000"/>
          <w:spacing w:val="-6"/>
        </w:rPr>
        <w:t xml:space="preserve">available at http://www.halcyon.com/pub/journals/21ps03-vidmar, Aug. 1992. (URL for Transaction, journal, or </w:t>
      </w:r>
      <w:proofErr w:type="spellStart"/>
      <w:r>
        <w:rPr>
          <w:rFonts w:ascii="Palatino" w:hAnsi="Palatino"/>
          <w:color w:val="000000"/>
          <w:spacing w:val="-6"/>
        </w:rPr>
        <w:t>magzine</w:t>
      </w:r>
      <w:proofErr w:type="spellEnd"/>
      <w:r>
        <w:rPr>
          <w:rFonts w:ascii="Palatino" w:hAnsi="Palatino"/>
          <w:color w:val="000000"/>
          <w:spacing w:val="-6"/>
        </w:rPr>
        <w:t>)</w:t>
      </w:r>
    </w:p>
    <w:p w:rsidR="00FF5190" w:rsidRPr="00177B9E" w:rsidRDefault="00FF5190">
      <w:pPr>
        <w:pStyle w:val="References"/>
        <w:numPr>
          <w:ilvl w:val="0"/>
          <w:numId w:val="22"/>
        </w:numPr>
        <w:rPr>
          <w:rFonts w:ascii="Palatino" w:hAnsi="Palatino"/>
          <w:color w:val="000000"/>
          <w:spacing w:val="-6"/>
        </w:rPr>
      </w:pPr>
      <w:r>
        <w:rPr>
          <w:rFonts w:ascii="Palatino" w:hAnsi="Palatino" w:cs="Tms Rmn"/>
          <w:color w:val="000000"/>
        </w:rPr>
        <w:t>J.M.P. Marti</w:t>
      </w:r>
      <w:r w:rsidRPr="00FF5190">
        <w:rPr>
          <w:rFonts w:ascii="Palatino" w:hAnsi="Palatino" w:cs="Tms Rmn"/>
          <w:color w:val="000000"/>
        </w:rPr>
        <w:t xml:space="preserve">nez, R.B. </w:t>
      </w:r>
      <w:proofErr w:type="spellStart"/>
      <w:r w:rsidRPr="00FF5190">
        <w:rPr>
          <w:rFonts w:ascii="Palatino" w:hAnsi="Palatino" w:cs="Tms Rmn"/>
          <w:color w:val="000000"/>
        </w:rPr>
        <w:t>Llavori</w:t>
      </w:r>
      <w:proofErr w:type="spellEnd"/>
      <w:r w:rsidRPr="00FF5190">
        <w:rPr>
          <w:rFonts w:ascii="Palatino" w:hAnsi="Palatino" w:cs="Tms Rmn"/>
          <w:color w:val="000000"/>
        </w:rPr>
        <w:t xml:space="preserve">, M.J.A. Cabo, and T.B. Pedersen, "Integrating Data Warehouses with Web Data: A Survey," </w:t>
      </w:r>
      <w:r w:rsidRPr="00FF5190">
        <w:rPr>
          <w:rFonts w:ascii="Palatino" w:hAnsi="Palatino" w:cs="Tms Rmn"/>
          <w:i/>
          <w:iCs/>
          <w:color w:val="000000"/>
        </w:rPr>
        <w:t>IEEE Trans. Knowledge and Data Eng.</w:t>
      </w:r>
      <w:r w:rsidRPr="00FF5190">
        <w:rPr>
          <w:rFonts w:ascii="Palatino" w:hAnsi="Palatino" w:cs="Tms Rmn"/>
          <w:color w:val="000000"/>
        </w:rPr>
        <w:t>, preprint, 21 Dec. 2007, doi:10.1109/TKDE.2007.</w:t>
      </w:r>
      <w:proofErr w:type="gramStart"/>
      <w:r w:rsidRPr="00FF5190">
        <w:rPr>
          <w:rFonts w:ascii="Palatino" w:hAnsi="Palatino" w:cs="Tms Rmn"/>
          <w:color w:val="000000"/>
        </w:rPr>
        <w:t>190746.</w:t>
      </w:r>
      <w:r>
        <w:rPr>
          <w:rFonts w:ascii="Palatino" w:hAnsi="Palatino" w:cs="Tms Rmn"/>
          <w:color w:val="000000"/>
        </w:rPr>
        <w:t>(</w:t>
      </w:r>
      <w:proofErr w:type="spellStart"/>
      <w:proofErr w:type="gramEnd"/>
      <w:r>
        <w:rPr>
          <w:rFonts w:ascii="Palatino" w:hAnsi="Palatino" w:cs="Tms Rmn"/>
          <w:color w:val="000000"/>
        </w:rPr>
        <w:t>PrePrint</w:t>
      </w:r>
      <w:proofErr w:type="spellEnd"/>
      <w:r>
        <w:rPr>
          <w:rFonts w:ascii="Palatino" w:hAnsi="Palatino" w:cs="Tms Rmn"/>
          <w:color w:val="000000"/>
        </w:rPr>
        <w:t>)</w:t>
      </w: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3410C8" w:rsidRDefault="003410C8">
      <w:pPr>
        <w:pStyle w:val="FigureCaption0"/>
        <w:rPr>
          <w:rFonts w:ascii="Helvetica" w:hAnsi="Helvetica"/>
          <w:color w:val="000000"/>
        </w:rPr>
      </w:pPr>
      <w:r>
        <w:rPr>
          <w:rFonts w:ascii="Helvetica" w:hAnsi="Helvetica"/>
          <w:b/>
          <w:bCs/>
          <w:color w:val="000000"/>
        </w:rPr>
        <w:t xml:space="preserve">First A. Author </w:t>
      </w:r>
      <w:r w:rsidR="00DD3B3D" w:rsidRPr="00DD3B3D">
        <w:rPr>
          <w:rFonts w:ascii="Helvetica" w:hAnsi="Helvetica"/>
          <w:bCs/>
          <w:color w:val="000000"/>
        </w:rPr>
        <w:t>All</w:t>
      </w:r>
      <w:r w:rsidR="00DD3B3D">
        <w:rPr>
          <w:rFonts w:ascii="Helvetica" w:hAnsi="Helvetica"/>
          <w:b/>
          <w:bCs/>
          <w:color w:val="000000"/>
        </w:rPr>
        <w:t xml:space="preserve"> </w:t>
      </w:r>
      <w:r w:rsidR="00DD3B3D">
        <w:rPr>
          <w:rFonts w:ascii="Helvetica" w:hAnsi="Helvetica"/>
          <w:color w:val="000000"/>
        </w:rPr>
        <w:t>b</w:t>
      </w:r>
      <w:r>
        <w:rPr>
          <w:rFonts w:ascii="Helvetica" w:hAnsi="Helvetica"/>
          <w:color w:val="000000"/>
        </w:rPr>
        <w:t>iographies should be limited to one paragraph consisting of the following: sequentially ordered list of degrees, including years achieved; sequentially ordered places of employ concluding with current employment; association with any official journals or conferences; major professional and/or academic achievements, i.e., best paper awards, research grants, etc.; any publication information (number of papers and titles of books published); current research interests; association with any professional associations.</w:t>
      </w:r>
      <w:r w:rsidR="00DD3B3D">
        <w:rPr>
          <w:rFonts w:ascii="Helvetica" w:hAnsi="Helvetica"/>
          <w:color w:val="000000"/>
        </w:rPr>
        <w:t xml:space="preserve"> </w:t>
      </w:r>
      <w:r w:rsidR="00DD3B3D" w:rsidRPr="00177B9E">
        <w:rPr>
          <w:rFonts w:ascii="Helvetica" w:hAnsi="Helvetica"/>
          <w:color w:val="000000"/>
        </w:rPr>
        <w:t xml:space="preserve">Author membership information, e.g., is a member of the IEEE and the IEEE Computer Society, </w:t>
      </w:r>
      <w:r w:rsidR="009848F6" w:rsidRPr="00177B9E">
        <w:rPr>
          <w:rFonts w:ascii="Helvetica" w:hAnsi="Helvetica"/>
          <w:color w:val="000000"/>
        </w:rPr>
        <w:t xml:space="preserve">if applicable, </w:t>
      </w:r>
      <w:r w:rsidR="00DD3B3D" w:rsidRPr="00177B9E">
        <w:rPr>
          <w:rFonts w:ascii="Helvetica" w:hAnsi="Helvetica"/>
          <w:color w:val="000000"/>
        </w:rPr>
        <w:t>is noted at the end of the biography.</w:t>
      </w:r>
    </w:p>
    <w:p w:rsidR="003410C8" w:rsidRDefault="003410C8">
      <w:pPr>
        <w:pStyle w:val="PARAGRAPH"/>
        <w:ind w:firstLine="0"/>
        <w:rPr>
          <w:color w:val="000000"/>
        </w:rPr>
      </w:pPr>
    </w:p>
    <w:p w:rsidR="003410C8" w:rsidRPr="00177B9E" w:rsidRDefault="003410C8">
      <w:pPr>
        <w:pStyle w:val="VITA"/>
        <w:rPr>
          <w:color w:val="000000"/>
          <w:kern w:val="0"/>
          <w:szCs w:val="16"/>
        </w:rPr>
      </w:pPr>
      <w:r>
        <w:rPr>
          <w:b/>
          <w:bCs/>
          <w:color w:val="000000"/>
        </w:rPr>
        <w:t>Second B. Author Jr.</w:t>
      </w:r>
      <w:r>
        <w:rPr>
          <w:color w:val="000000"/>
        </w:rPr>
        <w:t xml:space="preserve"> </w:t>
      </w:r>
      <w:r w:rsidRPr="00177B9E">
        <w:rPr>
          <w:color w:val="000000"/>
          <w:kern w:val="0"/>
          <w:szCs w:val="16"/>
        </w:rPr>
        <w:t>biography appears here.</w:t>
      </w:r>
    </w:p>
    <w:p w:rsidR="003410C8" w:rsidRDefault="003410C8">
      <w:pPr>
        <w:pStyle w:val="References"/>
        <w:rPr>
          <w:color w:val="000000"/>
        </w:rPr>
      </w:pPr>
    </w:p>
    <w:p w:rsidR="003410C8" w:rsidRPr="00177B9E" w:rsidRDefault="003410C8">
      <w:pPr>
        <w:pStyle w:val="VITA"/>
        <w:rPr>
          <w:color w:val="000000"/>
          <w:kern w:val="0"/>
          <w:szCs w:val="16"/>
        </w:rPr>
      </w:pPr>
      <w:r>
        <w:rPr>
          <w:b/>
          <w:bCs/>
          <w:color w:val="000000"/>
        </w:rPr>
        <w:t>Third C. Author</w:t>
      </w:r>
      <w:r>
        <w:rPr>
          <w:color w:val="000000"/>
        </w:rPr>
        <w:t xml:space="preserve"> </w:t>
      </w:r>
      <w:r w:rsidR="009848F6" w:rsidRPr="00177B9E">
        <w:rPr>
          <w:color w:val="000000"/>
          <w:kern w:val="0"/>
          <w:szCs w:val="16"/>
        </w:rPr>
        <w:t>biography appears here.</w:t>
      </w:r>
    </w:p>
    <w:sectPr w:rsidR="003410C8" w:rsidRPr="00177B9E" w:rsidSect="0069250A">
      <w:headerReference w:type="even" r:id="rId28"/>
      <w:headerReference w:type="default" r:id="rId29"/>
      <w:type w:val="continuous"/>
      <w:pgSz w:w="11340" w:h="15480" w:code="1"/>
      <w:pgMar w:top="1195" w:right="605" w:bottom="360" w:left="720" w:header="605" w:footer="72" w:gutter="0"/>
      <w:cols w:num="2" w:space="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0181F" w:rsidRDefault="00B0181F">
      <w:r>
        <w:separator/>
      </w:r>
    </w:p>
  </w:endnote>
  <w:endnote w:type="continuationSeparator" w:id="0">
    <w:p w:rsidR="00B0181F" w:rsidRDefault="00B018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w:altName w:val="Palatino Linotype"/>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ProgramThree">
    <w:panose1 w:val="00000000000000000000"/>
    <w:charset w:val="00"/>
    <w:family w:val="roman"/>
    <w:notTrueType/>
    <w:pitch w:val="fixed"/>
    <w:sig w:usb0="00000003" w:usb1="00000000" w:usb2="00000000" w:usb3="00000000" w:csb0="00000001" w:csb1="00000000"/>
  </w:font>
  <w:font w:name="Helvetica Condensed">
    <w:altName w:val="Arial"/>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spacing w:line="20" w:lineRule="exac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spacing w:line="20" w:lineRule="exact"/>
      <w:jc w:val="center"/>
      <w:rPr>
        <w:rFonts w:ascii="Arial" w:hAnsi="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pStyle w:val="Footer"/>
      <w:spacing w:line="20" w:lineRule="exac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0181F" w:rsidRDefault="00B0181F">
      <w:pPr>
        <w:pStyle w:val="TABLEROW"/>
        <w:jc w:val="left"/>
        <w:rPr>
          <w:position w:val="12"/>
          <w:sz w:val="20"/>
        </w:rPr>
      </w:pPr>
    </w:p>
  </w:footnote>
  <w:footnote w:type="continuationSeparator" w:id="0">
    <w:p w:rsidR="00B0181F" w:rsidRDefault="00B0181F">
      <w:r>
        <w:continuationSeparator/>
      </w:r>
    </w:p>
  </w:footnote>
  <w:footnote w:id="1">
    <w:p w:rsidR="00E12B17" w:rsidRDefault="00E12B17">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F07BE7">
    <w:pPr>
      <w:pStyle w:val="Header"/>
      <w:tabs>
        <w:tab w:val="clear" w:pos="10200"/>
        <w:tab w:val="right" w:pos="10320"/>
      </w:tabs>
      <w:spacing w:line="180" w:lineRule="exact"/>
    </w:pPr>
    <w:r>
      <w:fldChar w:fldCharType="begin"/>
    </w:r>
    <w:r>
      <w:instrText>PAGE</w:instrText>
    </w:r>
    <w:r>
      <w:fldChar w:fldCharType="separate"/>
    </w:r>
    <w:r w:rsidR="00E12B17">
      <w:rPr>
        <w:noProof/>
      </w:rPr>
      <w:t>2</w:t>
    </w:r>
    <w:r>
      <w:rPr>
        <w:noProof/>
      </w:rPr>
      <w:fldChar w:fldCharType="end"/>
    </w:r>
    <w:r w:rsidR="00E12B17">
      <w:rPr>
        <w:b/>
        <w:i/>
        <w:vanish/>
      </w:rPr>
      <w:t xml:space="preserve">   </w:t>
    </w:r>
    <w:r w:rsidR="00E12B17">
      <w:rPr>
        <w:i/>
        <w:caps w:val="0"/>
        <w:vanish/>
      </w:rPr>
      <w:t>even page</w:t>
    </w:r>
    <w:r w:rsidR="00E12B17">
      <w:tab/>
      <w:t xml:space="preserve">IEEE TRANSACTIONS ON </w:t>
    </w:r>
    <w:proofErr w:type="gramStart"/>
    <w:r w:rsidR="00E12B17">
      <w:t>XXXXXXXXXXXXXXXXXXXX,  vol.</w:t>
    </w:r>
    <w:proofErr w:type="gramEnd"/>
    <w:r w:rsidR="00E12B17">
      <w:t xml:space="preserve">  #</w:t>
    </w:r>
    <w:proofErr w:type="gramStart"/>
    <w:r w:rsidR="00E12B17">
      <w:t>,  no.</w:t>
    </w:r>
    <w:proofErr w:type="gramEnd"/>
    <w:r w:rsidR="00E12B17">
      <w:t xml:space="preserve">  #</w:t>
    </w:r>
    <w:proofErr w:type="gramStart"/>
    <w:r w:rsidR="00E12B17">
      <w:t>,  MMMMMMMM</w:t>
    </w:r>
    <w:proofErr w:type="gramEnd"/>
    <w:r w:rsidR="00E12B17">
      <w:t xml:space="preserve">  1996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pStyle w:val="Header"/>
      <w:tabs>
        <w:tab w:val="clear" w:pos="10200"/>
        <w:tab w:val="right" w:pos="10320"/>
      </w:tabs>
      <w:spacing w:line="180" w:lineRule="exact"/>
    </w:pPr>
    <w:r>
      <w:t>AUTHOR:  TITLE</w:t>
    </w:r>
    <w:r>
      <w:tab/>
    </w:r>
    <w:r>
      <w:rPr>
        <w:i/>
        <w:caps w:val="0"/>
        <w:vanish/>
      </w:rPr>
      <w:t>odd page</w:t>
    </w:r>
    <w:r>
      <w:rPr>
        <w:caps w:val="0"/>
        <w:vanish/>
      </w:rPr>
      <w:t xml:space="preserve">    </w:t>
    </w:r>
    <w:r w:rsidR="00F07BE7">
      <w:fldChar w:fldCharType="begin"/>
    </w:r>
    <w:r w:rsidR="00F07BE7">
      <w:instrText>PAGE</w:instrText>
    </w:r>
    <w:r w:rsidR="00F07BE7">
      <w:fldChar w:fldCharType="separate"/>
    </w:r>
    <w:r>
      <w:rPr>
        <w:noProof/>
      </w:rPr>
      <w:t>3</w:t>
    </w:r>
    <w:r w:rsidR="00F07BE7">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166870">
    <w:pPr>
      <w:pStyle w:val="Header"/>
      <w:tabs>
        <w:tab w:val="clear" w:pos="10200"/>
        <w:tab w:val="right" w:pos="10320"/>
      </w:tabs>
      <w:spacing w:line="180" w:lineRule="exact"/>
    </w:pPr>
    <w:r>
      <w:t>design patterns connor Pick and Sohail</w:t>
    </w:r>
    <w:r w:rsidR="00E12B17">
      <w:tab/>
    </w:r>
    <w:r w:rsidR="00E12B17">
      <w:rPr>
        <w:b/>
        <w:caps w:val="0"/>
        <w:vanish/>
        <w:sz w:val="16"/>
      </w:rPr>
      <w:t>first page</w:t>
    </w:r>
    <w:r w:rsidR="00E12B17">
      <w:rPr>
        <w:caps w:val="0"/>
        <w:vanish/>
      </w:rPr>
      <w:t xml:space="preserve">   </w:t>
    </w:r>
    <w:r w:rsidR="00F07BE7">
      <w:fldChar w:fldCharType="begin"/>
    </w:r>
    <w:r w:rsidR="00F07BE7">
      <w:instrText xml:space="preserve"> PAGE </w:instrText>
    </w:r>
    <w:r w:rsidR="00F07BE7">
      <w:fldChar w:fldCharType="separate"/>
    </w:r>
    <w:r w:rsidR="006C72B7">
      <w:rPr>
        <w:noProof/>
      </w:rPr>
      <w:t>1</w:t>
    </w:r>
    <w:r w:rsidR="00F07BE7">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F07BE7">
    <w:pPr>
      <w:pStyle w:val="Header"/>
      <w:tabs>
        <w:tab w:val="clear" w:pos="10200"/>
        <w:tab w:val="right" w:pos="10320"/>
      </w:tabs>
      <w:spacing w:line="180" w:lineRule="exact"/>
    </w:pPr>
    <w:r>
      <w:fldChar w:fldCharType="begin"/>
    </w:r>
    <w:r>
      <w:instrText>PAGE</w:instrText>
    </w:r>
    <w:r>
      <w:fldChar w:fldCharType="separate"/>
    </w:r>
    <w:r w:rsidR="006C72B7">
      <w:rPr>
        <w:noProof/>
      </w:rPr>
      <w:t>2</w:t>
    </w:r>
    <w:r>
      <w:rPr>
        <w:noProof/>
      </w:rPr>
      <w:fldChar w:fldCharType="end"/>
    </w:r>
    <w:r w:rsidR="00E12B17">
      <w:rPr>
        <w:b/>
        <w:i/>
        <w:vanish/>
      </w:rPr>
      <w:t xml:space="preserve">   </w:t>
    </w:r>
    <w:r w:rsidR="00E12B17">
      <w:rPr>
        <w:i/>
        <w:caps w:val="0"/>
        <w:vanish/>
      </w:rPr>
      <w:t>even page</w:t>
    </w:r>
    <w:r w:rsidR="00E12B17">
      <w:tab/>
    </w:r>
    <w:r w:rsidR="00CE0920">
      <w:t>Design patterns by connor pick and sohail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CE0920">
    <w:pPr>
      <w:pStyle w:val="Header"/>
      <w:tabs>
        <w:tab w:val="clear" w:pos="10200"/>
        <w:tab w:val="right" w:pos="10320"/>
      </w:tabs>
      <w:spacing w:line="180" w:lineRule="exact"/>
    </w:pPr>
    <w:r>
      <w:t>Connor pick and sohail: design patterns</w:t>
    </w:r>
    <w:r w:rsidR="00E12B17">
      <w:tab/>
    </w:r>
    <w:r w:rsidR="00E12B17">
      <w:rPr>
        <w:i/>
        <w:caps w:val="0"/>
        <w:vanish/>
      </w:rPr>
      <w:t>odd page</w:t>
    </w:r>
    <w:r w:rsidR="00E12B17">
      <w:rPr>
        <w:caps w:val="0"/>
        <w:vanish/>
      </w:rPr>
      <w:t xml:space="preserve">    </w:t>
    </w:r>
    <w:r w:rsidR="00F07BE7">
      <w:fldChar w:fldCharType="begin"/>
    </w:r>
    <w:r w:rsidR="00F07BE7">
      <w:instrText>PAGE</w:instrText>
    </w:r>
    <w:r w:rsidR="00F07BE7">
      <w:fldChar w:fldCharType="separate"/>
    </w:r>
    <w:r w:rsidR="006C72B7">
      <w:rPr>
        <w:noProof/>
      </w:rPr>
      <w:t>3</w:t>
    </w:r>
    <w:r w:rsidR="00F07BE7">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8"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9"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0"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4"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1"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26"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27"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8" w15:restartNumberingAfterBreak="0">
    <w:nsid w:val="5BD07A75"/>
    <w:multiLevelType w:val="multilevel"/>
    <w:tmpl w:val="AFF857F4"/>
    <w:lvl w:ilvl="0">
      <w:start w:val="2"/>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3"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4"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5"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abstractNumId w:val="15"/>
  </w:num>
  <w:num w:numId="4">
    <w:abstractNumId w:val="22"/>
  </w:num>
  <w:num w:numId="5">
    <w:abstractNumId w:val="33"/>
  </w:num>
  <w:num w:numId="6">
    <w:abstractNumId w:val="10"/>
  </w:num>
  <w:num w:numId="7">
    <w:abstractNumId w:val="17"/>
  </w:num>
  <w:num w:numId="8">
    <w:abstractNumId w:val="9"/>
  </w:num>
  <w:num w:numId="9">
    <w:abstractNumId w:val="8"/>
  </w:num>
  <w:num w:numId="10">
    <w:abstractNumId w:val="0"/>
  </w:num>
  <w:num w:numId="11">
    <w:abstractNumId w:val="16"/>
  </w:num>
  <w:num w:numId="12">
    <w:abstractNumId w:val="16"/>
    <w:lvlOverride w:ilvl="0">
      <w:lvl w:ilvl="0">
        <w:start w:val="1"/>
        <w:numFmt w:val="decimal"/>
        <w:lvlText w:val="%1."/>
        <w:legacy w:legacy="1" w:legacySpace="0" w:legacyIndent="360"/>
        <w:lvlJc w:val="left"/>
        <w:pPr>
          <w:ind w:left="360" w:hanging="360"/>
        </w:pPr>
      </w:lvl>
    </w:lvlOverride>
  </w:num>
  <w:num w:numId="13">
    <w:abstractNumId w:val="23"/>
  </w:num>
  <w:num w:numId="14">
    <w:abstractNumId w:val="23"/>
    <w:lvlOverride w:ilvl="0">
      <w:lvl w:ilvl="0">
        <w:start w:val="1"/>
        <w:numFmt w:val="decimal"/>
        <w:lvlText w:val="%1."/>
        <w:legacy w:legacy="1" w:legacySpace="0" w:legacyIndent="360"/>
        <w:lvlJc w:val="left"/>
        <w:pPr>
          <w:ind w:left="360" w:hanging="360"/>
        </w:pPr>
      </w:lvl>
    </w:lvlOverride>
  </w:num>
  <w:num w:numId="15">
    <w:abstractNumId w:val="18"/>
  </w:num>
  <w:num w:numId="16">
    <w:abstractNumId w:val="11"/>
  </w:num>
  <w:num w:numId="17">
    <w:abstractNumId w:val="27"/>
  </w:num>
  <w:num w:numId="18">
    <w:abstractNumId w:val="24"/>
  </w:num>
  <w:num w:numId="19">
    <w:abstractNumId w:val="34"/>
  </w:num>
  <w:num w:numId="20">
    <w:abstractNumId w:val="13"/>
  </w:num>
  <w:num w:numId="21">
    <w:abstractNumId w:val="12"/>
  </w:num>
  <w:num w:numId="22">
    <w:abstractNumId w:val="32"/>
  </w:num>
  <w:num w:numId="23">
    <w:abstractNumId w:val="19"/>
  </w:num>
  <w:num w:numId="24">
    <w:abstractNumId w:val="29"/>
  </w:num>
  <w:num w:numId="25">
    <w:abstractNumId w:val="4"/>
  </w:num>
  <w:num w:numId="26">
    <w:abstractNumId w:val="2"/>
  </w:num>
  <w:num w:numId="27">
    <w:abstractNumId w:val="5"/>
  </w:num>
  <w:num w:numId="28">
    <w:abstractNumId w:val="20"/>
  </w:num>
  <w:num w:numId="29">
    <w:abstractNumId w:val="35"/>
  </w:num>
  <w:num w:numId="30">
    <w:abstractNumId w:val="25"/>
  </w:num>
  <w:num w:numId="31">
    <w:abstractNumId w:val="21"/>
  </w:num>
  <w:num w:numId="32">
    <w:abstractNumId w:val="28"/>
  </w:num>
  <w:num w:numId="33">
    <w:abstractNumId w:val="30"/>
  </w:num>
  <w:num w:numId="34">
    <w:abstractNumId w:val="6"/>
  </w:num>
  <w:num w:numId="35">
    <w:abstractNumId w:val="7"/>
  </w:num>
  <w:num w:numId="36">
    <w:abstractNumId w:val="14"/>
  </w:num>
  <w:num w:numId="37">
    <w:abstractNumId w:val="31"/>
  </w:num>
  <w:num w:numId="38">
    <w:abstractNumId w:val="26"/>
  </w:num>
  <w:num w:numId="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intFractionalCharacterWidth/>
  <w:mirrorMargins/>
  <w:hideSpellingError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evenAndOddHeader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39C"/>
    <w:rsid w:val="00041BDC"/>
    <w:rsid w:val="000A4F02"/>
    <w:rsid w:val="000F6C60"/>
    <w:rsid w:val="00166870"/>
    <w:rsid w:val="00177B9E"/>
    <w:rsid w:val="002522DF"/>
    <w:rsid w:val="0027695E"/>
    <w:rsid w:val="002D46B5"/>
    <w:rsid w:val="002E799D"/>
    <w:rsid w:val="003410C8"/>
    <w:rsid w:val="00341FA6"/>
    <w:rsid w:val="00367128"/>
    <w:rsid w:val="003A7129"/>
    <w:rsid w:val="003D20E6"/>
    <w:rsid w:val="003F6723"/>
    <w:rsid w:val="005348DB"/>
    <w:rsid w:val="005F40E8"/>
    <w:rsid w:val="0069250A"/>
    <w:rsid w:val="006C72B7"/>
    <w:rsid w:val="0071239C"/>
    <w:rsid w:val="0073587B"/>
    <w:rsid w:val="0074172D"/>
    <w:rsid w:val="00753F24"/>
    <w:rsid w:val="00850C4C"/>
    <w:rsid w:val="00887762"/>
    <w:rsid w:val="008F2379"/>
    <w:rsid w:val="009848F6"/>
    <w:rsid w:val="009C2611"/>
    <w:rsid w:val="009E680F"/>
    <w:rsid w:val="00A211B7"/>
    <w:rsid w:val="00A2174E"/>
    <w:rsid w:val="00A5101E"/>
    <w:rsid w:val="00A64EB7"/>
    <w:rsid w:val="00A76BBC"/>
    <w:rsid w:val="00AB633F"/>
    <w:rsid w:val="00B0181F"/>
    <w:rsid w:val="00B23D4B"/>
    <w:rsid w:val="00B538EB"/>
    <w:rsid w:val="00BB05EB"/>
    <w:rsid w:val="00C34C29"/>
    <w:rsid w:val="00CC2CB4"/>
    <w:rsid w:val="00CE0920"/>
    <w:rsid w:val="00D546C6"/>
    <w:rsid w:val="00D96813"/>
    <w:rsid w:val="00DD3B3D"/>
    <w:rsid w:val="00DE2722"/>
    <w:rsid w:val="00E12B17"/>
    <w:rsid w:val="00E81C3D"/>
    <w:rsid w:val="00F07BE7"/>
    <w:rsid w:val="00F964F4"/>
    <w:rsid w:val="00FB6A20"/>
    <w:rsid w:val="00FF2DA4"/>
    <w:rsid w:val="00FF4AC1"/>
    <w:rsid w:val="00FF5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1AE97E"/>
  <w15:docId w15:val="{D1F08F44-0733-4192-B456-73C3C5768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3587B"/>
    <w:pPr>
      <w:widowControl w:val="0"/>
      <w:spacing w:line="230" w:lineRule="exact"/>
      <w:jc w:val="both"/>
    </w:pPr>
    <w:rPr>
      <w:rFonts w:ascii="Palatino" w:hAnsi="Palatino"/>
      <w:kern w:val="16"/>
      <w:sz w:val="19"/>
    </w:rPr>
  </w:style>
  <w:style w:type="paragraph" w:styleId="Heading1">
    <w:name w:val="heading 1"/>
    <w:basedOn w:val="PARAGRAPH"/>
    <w:next w:val="PARAGRAPHnoindent"/>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Heading2">
    <w:name w:val="heading 2"/>
    <w:basedOn w:val="Heading1"/>
    <w:next w:val="PARAGRAPHnoindent"/>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rFonts w:ascii="Times New Roman" w:hAnsi="Times New Roman"/>
      <w:sz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spacing w:line="240" w:lineRule="auto"/>
    </w:pPr>
    <w:rPr>
      <w:rFonts w:ascii="Times New Roman" w:hAnsi="Times New Roman"/>
      <w:kern w:val="0"/>
      <w:sz w:val="16"/>
      <w:szCs w:val="16"/>
    </w:rPr>
  </w:style>
  <w:style w:type="paragraph" w:customStyle="1" w:styleId="Text">
    <w:name w:val="Text"/>
    <w:basedOn w:val="Normal"/>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Normal"/>
    <w:next w:val="Normal"/>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spacing w:line="240" w:lineRule="auto"/>
    </w:pPr>
    <w:rPr>
      <w:rFonts w:ascii="Times New Roman" w:hAnsi="Times New Roman"/>
      <w:kern w:val="0"/>
      <w:sz w:val="16"/>
      <w:szCs w:val="16"/>
    </w:rPr>
  </w:style>
  <w:style w:type="paragraph" w:customStyle="1" w:styleId="TableTitle0">
    <w:name w:val="Table Title"/>
    <w:basedOn w:val="Normal"/>
    <w:rsid w:val="0073587B"/>
    <w:pPr>
      <w:widowControl/>
      <w:autoSpaceDE w:val="0"/>
      <w:autoSpaceDN w:val="0"/>
      <w:spacing w:line="240" w:lineRule="auto"/>
      <w:jc w:val="center"/>
    </w:pPr>
    <w:rPr>
      <w:rFonts w:ascii="Times New Roman" w:hAnsi="Times New Roman"/>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rPr>
      <w:sz w:val="20"/>
    </w:rPr>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5507872">
      <w:bodyDiv w:val="1"/>
      <w:marLeft w:val="0"/>
      <w:marRight w:val="0"/>
      <w:marTop w:val="0"/>
      <w:marBottom w:val="0"/>
      <w:divBdr>
        <w:top w:val="none" w:sz="0" w:space="0" w:color="auto"/>
        <w:left w:val="none" w:sz="0" w:space="0" w:color="auto"/>
        <w:bottom w:val="none" w:sz="0" w:space="0" w:color="auto"/>
        <w:right w:val="none" w:sz="0" w:space="0" w:color="auto"/>
      </w:divBdr>
    </w:div>
    <w:div w:id="162006948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wmf"/><Relationship Id="rId26" Type="http://schemas.openxmlformats.org/officeDocument/2006/relationships/hyperlink" Target="http://www.computer.org/portal/web/publications/style_refs" TargetMode="External"/><Relationship Id="rId3" Type="http://schemas.openxmlformats.org/officeDocument/2006/relationships/styles" Target="styles.xml"/><Relationship Id="rId21" Type="http://schemas.openxmlformats.org/officeDocument/2006/relationships/hyperlink" Target="http://www.computer.org/cms/Computer.org/Journal%20templates/transactions_art_guide.pdf"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www.mathtype.com" TargetMode="External"/><Relationship Id="rId25" Type="http://schemas.openxmlformats.org/officeDocument/2006/relationships/hyperlink" Target="http://www.computer.org/portal/web/peerreviewjournals/author" TargetMode="Externa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hyperlink" Target="http://www.computer.org/portal/web/peerreviewjournals/author" TargetMode="Externa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6.wmf"/><Relationship Id="rId28" Type="http://schemas.openxmlformats.org/officeDocument/2006/relationships/header" Target="header4.xml"/><Relationship Id="rId10" Type="http://schemas.openxmlformats.org/officeDocument/2006/relationships/footer" Target="footer1.xml"/><Relationship Id="rId19" Type="http://schemas.openxmlformats.org/officeDocument/2006/relationships/hyperlink" Target="http://www.computer.org/portal/web/publications/style_math"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hyperlink" Target="http://www.computer.org/portal/web/publications/styleguide"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BBA94C-06D7-4F59-888E-8F5CBEDB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1328</TotalTime>
  <Pages>5</Pages>
  <Words>3281</Words>
  <Characters>18704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Transaction / Regular Paper Title</vt:lpstr>
    </vt:vector>
  </TitlesOfParts>
  <Company>IEEE Computer Society</Company>
  <LinksUpToDate>false</LinksUpToDate>
  <CharactersWithSpaces>21942</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connor pick</cp:lastModifiedBy>
  <cp:revision>8</cp:revision>
  <cp:lastPrinted>2003-04-30T17:12:00Z</cp:lastPrinted>
  <dcterms:created xsi:type="dcterms:W3CDTF">2018-11-06T20:09:00Z</dcterms:created>
  <dcterms:modified xsi:type="dcterms:W3CDTF">2018-11-07T18:23:00Z</dcterms:modified>
</cp:coreProperties>
</file>