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sz w:val="40"/>
          <w:szCs w:val="40"/>
        </w:rPr>
        <w:t xml:space="preserve">Cowork Build Brief</w:t>
      </w:r>
    </w:p>
    <w:p>
      <w:pPr>
        <w:spacing w:after="200"/>
        <w:jc w:val="center"/>
      </w:pPr>
      <w:r>
        <w:rPr>
          <w:sz w:val="32"/>
          <w:szCs w:val="32"/>
        </w:rPr>
        <w:t xml:space="preserve">ASRB Slice 1: Domain Foundations</w:t>
      </w:r>
    </w:p>
    <w:p>
      <w:pPr>
        <w:spacing w:after="400"/>
        <w:jc w:val="center"/>
      </w:pPr>
      <w:r>
        <w:rPr>
          <w:i/>
          <w:iCs/>
          <w:sz w:val="24"/>
          <w:szCs w:val="24"/>
        </w:rPr>
        <w:t xml:space="preserve">ASRB Governance Module - University DSS</w:t>
      </w:r>
    </w:p>
    <w:p>
      <w:pPr>
        <w:spacing w:after="120"/>
        <w:jc w:val="center"/>
      </w:pPr>
      <w:r>
        <w:rPr>
          <w:sz w:val="22"/>
          <w:szCs w:val="22"/>
        </w:rPr>
        <w:t xml:space="preserve">Input document for a single Cowork session.</w:t>
      </w:r>
    </w:p>
    <w:p>
      <w:pPr>
        <w:jc w:val="center"/>
      </w:pPr>
      <w:r>
        <w:rPr>
          <w:sz w:val="22"/>
          <w:szCs w:val="22"/>
        </w:rPr>
        <w:t xml:space="preserve">References: asrb_governance_spec.docx v1.0, board_governance_spec.docx v1.0.</w:t>
      </w:r>
    </w:p>
    <w:p>
      <w:r>
        <w:br w:type="page"/>
      </w:r>
    </w:p>
    <w:p>
      <w:pPr>
        <w:pStyle w:val="Heading1"/>
      </w:pPr>
      <w:r>
        <w:t xml:space="preserve">Context</w:t>
      </w:r>
    </w:p>
    <w:p>
      <w:pPr>
        <w:spacing w:after="120"/>
      </w:pPr>
      <w:r>
        <w:t xml:space="preserve">This slice extends the existing DSS repository (built through the Board Governance module slices) with the foundational domain elements for the ASRB Governance Module. The ASRB module handles the Advanced Studies and Research Board workflow for graduate research cases at a public-sector university in Pakistan, including compliance against a configurable HEC and university rules catalog, agenda and working paper generation, Chair deliberation, decision recording, and stubbed downstream workflows (examiner appointment, viva scheduling, result processing).</w:t>
      </w:r>
    </w:p>
    <w:p>
      <w:pPr>
        <w:spacing w:after="120"/>
      </w:pPr>
      <w:r>
        <w:t xml:space="preserve">The full specification is at /docs/asrb/asrb_governance_spec.docx v1.0. The companion Board Governance specification is at /docs/board_governance_spec.docx v1.0. This slice follows the vertical-slice build plan from Section 12 of the ASRB spec.</w:t>
      </w:r>
    </w:p>
    <w:p>
      <w:pPr>
        <w:spacing w:after="120"/>
      </w:pPr>
      <w:r>
        <w:t xml:space="preserve">Tech stack: Node.js, Next.js (App Router), TypeScript, PostgreSQL, Prisma. This slice extends the existing monorepo. Do not duplicate shared infrastructure already established by the Board Governance module; reuse it.</w:t>
      </w:r>
    </w:p>
    <w:p>
      <w:pPr>
        <w:spacing w:after="120"/>
      </w:pPr>
      <w:r>
        <w:t xml:space="preserve">Release constraints carried forward: no write-back to source systems; source-data access is read-only via the @ums/source-data abstraction; downstream workflows are stubs that emit NotificationForAction records only.</w:t>
      </w:r>
    </w:p>
    <w:p>
      <w:pPr>
        <w:pStyle w:val="Heading1"/>
      </w:pPr>
      <w:r>
        <w:t xml:space="preserve">Prerequisites</w:t>
      </w:r>
    </w:p>
    <w:p>
      <w:pPr>
        <w:spacing w:after="120"/>
      </w:pPr>
      <w:r>
        <w:t xml:space="preserve">This slice assumes the following from prior Board Governance work is already on the main branch:</w:t>
      </w:r>
    </w:p>
    <w:p>
      <w:pPr>
        <w:pStyle w:val="ListParagraph"/>
        <w:numPr>
          <w:ilvl w:val="0"/>
          <w:numId w:val="2"/>
        </w:numPr>
        <w:spacing w:after="80"/>
      </w:pPr>
      <w:r>
        <w:t xml:space="preserve">Monorepo structure with /apps/web, /packages/source-data, /packages/domain, /packages/audit, /prisma.</w:t>
      </w:r>
    </w:p>
    <w:p>
      <w:pPr>
        <w:pStyle w:val="ListParagraph"/>
        <w:numPr>
          <w:ilvl w:val="0"/>
          <w:numId w:val="2"/>
        </w:numPr>
        <w:spacing w:after="80"/>
      </w:pPr>
      <w:r>
        <w:t xml:space="preserve">CONTRIBUTING.md codifying conventions used across the repository.</w:t>
      </w:r>
    </w:p>
    <w:p>
      <w:pPr>
        <w:pStyle w:val="ListParagraph"/>
        <w:numPr>
          <w:ilvl w:val="0"/>
          <w:numId w:val="2"/>
        </w:numPr>
        <w:spacing w:after="80"/>
      </w:pPr>
      <w:r>
        <w:t xml:space="preserve">Prisma schema containing at minimum: User, Role, AuditEvent, NotificationForAction, MeetingCalendar (or the Board Governance equivalent parent).</w:t>
      </w:r>
    </w:p>
    <w:p>
      <w:pPr>
        <w:pStyle w:val="ListParagraph"/>
        <w:numPr>
          <w:ilvl w:val="0"/>
          <w:numId w:val="2"/>
        </w:numPr>
        <w:spacing w:after="80"/>
      </w:pPr>
      <w:r>
        <w:t xml:space="preserve">SSO stub login, role middleware, @ums/source-data with MockReader and the IHRDirectoryReader, IFinanceReader, IAcademicReader, IResolutionReader interfaces.</w:t>
      </w:r>
    </w:p>
    <w:p>
      <w:pPr>
        <w:pStyle w:val="ListParagraph"/>
        <w:numPr>
          <w:ilvl w:val="0"/>
          <w:numId w:val="2"/>
        </w:numPr>
        <w:spacing w:after="80"/>
      </w:pPr>
      <w:r>
        <w:t xml:space="preserve">@ums/audit package with writeAuditEvent, verifyAuditEvent, canonical JSON serializer.</w:t>
      </w:r>
    </w:p>
    <w:p>
      <w:pPr>
        <w:pStyle w:val="ListParagraph"/>
        <w:numPr>
          <w:ilvl w:val="0"/>
          <w:numId w:val="2"/>
        </w:numPr>
        <w:spacing w:after="80"/>
      </w:pPr>
      <w:r>
        <w:t xml:space="preserve">@ums/domain package with state machine helpers and canTransition pattern.</w:t>
      </w:r>
    </w:p>
    <w:p>
      <w:pPr>
        <w:pStyle w:val="ListParagraph"/>
        <w:numPr>
          <w:ilvl w:val="0"/>
          <w:numId w:val="2"/>
        </w:numPr>
        <w:spacing w:after="80"/>
      </w:pPr>
      <w:r>
        <w:t xml:space="preserve">Passing CI: lint, typecheck, prisma migrate check, unit tests, contract tests.</w:t>
      </w:r>
    </w:p>
    <w:p>
      <w:pPr>
        <w:spacing w:after="120"/>
      </w:pPr>
      <w:r>
        <w:t xml:space="preserve">If any prerequisite is missing, stop and report. Do not reimplement Board Governance foundations.</w:t>
      </w:r>
    </w:p>
    <w:p>
      <w:pPr>
        <w:pStyle w:val="Heading1"/>
      </w:pPr>
      <w:r>
        <w:t xml:space="preserve">Scope of This Slice</w:t>
      </w:r>
    </w:p>
    <w:p>
      <w:pPr>
        <w:pStyle w:val="Heading2"/>
      </w:pPr>
      <w:r>
        <w:t xml:space="preserve">In Scope</w:t>
      </w:r>
    </w:p>
    <w:p>
      <w:pPr>
        <w:pStyle w:val="ListParagraph"/>
        <w:numPr>
          <w:ilvl w:val="0"/>
          <w:numId w:val="2"/>
        </w:numPr>
        <w:spacing w:after="80"/>
      </w:pPr>
      <w:r>
        <w:t xml:space="preserve">Extend the Prisma schema with ASRB-specific entities from Section 5 of the ASRB specification: ASRBMeeting, ASRBCase, CaseAttachment, ComplianceRule, ComplianceEvaluation, RuleEvaluation, ASRBAgenda, AgendaBatch, AgendaException, ASRBWorkingPaper, ASRBMember, MemberQuery, CaseDecision, CirculationDecision, RatificationEntry, ExaminerAppointmentStub, VivaSchedulingStub, ResultProcessingStub, CaseAuditEvent.</w:t>
      </w:r>
    </w:p>
    <w:p>
      <w:pPr>
        <w:pStyle w:val="ListParagraph"/>
        <w:numPr>
          <w:ilvl w:val="0"/>
          <w:numId w:val="2"/>
        </w:numPr>
        <w:spacing w:after="80"/>
      </w:pPr>
      <w:r>
        <w:t xml:space="preserve">Extend @ums/domain with ASRB enums: ASRBCaseStatus, ComplianceEvaluationStatus, ASRBAgendaStatus, StubStatus (shared across the three stubs), CirculationDecisionStatus, CaseType, CaseOutcome, RuleSource, RuleSeverity, RuleOutcome.</w:t>
      </w:r>
    </w:p>
    <w:p>
      <w:pPr>
        <w:pStyle w:val="ListParagraph"/>
        <w:numPr>
          <w:ilvl w:val="0"/>
          <w:numId w:val="2"/>
        </w:numPr>
        <w:spacing w:after="80"/>
      </w:pPr>
      <w:r>
        <w:t xml:space="preserve">Add state-machine canTransition functions to @ums/domain for: ASRBCase, ComplianceEvaluation, ASRBAgenda, Stub (generic), CirculationDecision. Follow the same pattern as existing Board Governance state machines.</w:t>
      </w:r>
    </w:p>
    <w:p>
      <w:pPr>
        <w:pStyle w:val="ListParagraph"/>
        <w:numPr>
          <w:ilvl w:val="0"/>
          <w:numId w:val="2"/>
        </w:numPr>
        <w:spacing w:after="80"/>
      </w:pPr>
      <w:r>
        <w:t xml:space="preserve">Extend @ums/source-data with two new reader interfaces: IStudentAcademicReader (methods: getStudent, getEnrolmentHistory, getCourseworkStatus, getComprehensiveExamStatus) and ISupervisorProfileReader (methods: getSupervisor, getActiveSupervisionLoad, getPublicationProfile, getHighestQualification).</w:t>
      </w:r>
    </w:p>
    <w:p>
      <w:pPr>
        <w:pStyle w:val="ListParagraph"/>
        <w:numPr>
          <w:ilvl w:val="0"/>
          <w:numId w:val="2"/>
        </w:numPr>
        <w:spacing w:after="80"/>
      </w:pPr>
      <w:r>
        <w:t xml:space="preserve">Extend MockReader in @ums/source-data to implement both new interfaces with deterministic seed data.</w:t>
      </w:r>
    </w:p>
    <w:p>
      <w:pPr>
        <w:pStyle w:val="ListParagraph"/>
        <w:numPr>
          <w:ilvl w:val="0"/>
          <w:numId w:val="2"/>
        </w:numPr>
        <w:spacing w:after="80"/>
      </w:pPr>
      <w:r>
        <w:t xml:space="preserve">Add WarehouseReader stubs for the two new interfaces that throw NotImplementedError.</w:t>
      </w:r>
    </w:p>
    <w:p>
      <w:pPr>
        <w:pStyle w:val="ListParagraph"/>
        <w:numPr>
          <w:ilvl w:val="0"/>
          <w:numId w:val="2"/>
        </w:numPr>
        <w:spacing w:after="80"/>
      </w:pPr>
      <w:r>
        <w:t xml:space="preserve">Seed data: create 2 ASRBMeetings (one past, one upcoming), 6 ASRBMembers covering role types (CHAIR, INTERNAL, EXTERNAL, SECRETARY), 10 seed students, 5 supervisors, 8 ASRBCases in varied states and types, 2 ComplianceRules as examples (one PhD supervisor qualification check, one plagiarism threshold check).</w:t>
      </w:r>
    </w:p>
    <w:p>
      <w:pPr>
        <w:pStyle w:val="ListParagraph"/>
        <w:numPr>
          <w:ilvl w:val="0"/>
          <w:numId w:val="2"/>
        </w:numPr>
        <w:spacing w:after="80"/>
      </w:pPr>
      <w:r>
        <w:t xml:space="preserve">Seed Users and Roles covering new ASRB-specific roles: Graduate Affairs Officer, Dean (Graduate Studies), ASRB Chair, ASRB Member, Downstream Office (with sub-types ORIC, Controller of Examinations, Treasurer). Extend existing role middleware permission catalog to cover these.</w:t>
      </w:r>
    </w:p>
    <w:p>
      <w:pPr>
        <w:pStyle w:val="ListParagraph"/>
        <w:numPr>
          <w:ilvl w:val="0"/>
          <w:numId w:val="2"/>
        </w:numPr>
        <w:spacing w:after="80"/>
      </w:pPr>
      <w:r>
        <w:t xml:space="preserve">Unit tests: full transition matrix coverage for each new state machine; seed data integrity; reader interface contract tests for the new interfaces.</w:t>
      </w:r>
    </w:p>
    <w:p>
      <w:pPr>
        <w:pStyle w:val="ListParagraph"/>
        <w:numPr>
          <w:ilvl w:val="0"/>
          <w:numId w:val="2"/>
        </w:numPr>
        <w:spacing w:after="80"/>
      </w:pPr>
      <w:r>
        <w:t xml:space="preserve">Documentation: ADR at /docs/adr/0002-asrb-module-foundations.md explaining the ASRB module's relationship to Board Governance, shared schema reuse, and the configurable rules catalog rationale.</w:t>
      </w:r>
    </w:p>
    <w:p>
      <w:pPr>
        <w:pStyle w:val="ListParagraph"/>
        <w:numPr>
          <w:ilvl w:val="0"/>
          <w:numId w:val="2"/>
        </w:numPr>
        <w:spacing w:after="80"/>
      </w:pPr>
      <w:r>
        <w:t xml:space="preserve">A short /docs/asrb/README.md index pointing to the specification and summarising the ASRB module at a high level.</w:t>
      </w:r>
    </w:p>
    <w:p>
      <w:pPr>
        <w:pStyle w:val="Heading2"/>
      </w:pPr>
      <w:r>
        <w:t xml:space="preserve">Explicitly Out of Scope</w:t>
      </w:r>
    </w:p>
    <w:p>
      <w:pPr>
        <w:pStyle w:val="ListParagraph"/>
        <w:numPr>
          <w:ilvl w:val="0"/>
          <w:numId w:val="2"/>
        </w:numPr>
        <w:spacing w:after="80"/>
      </w:pPr>
      <w:r>
        <w:t xml:space="preserve">Intake API endpoint (Slice 2).</w:t>
      </w:r>
    </w:p>
    <w:p>
      <w:pPr>
        <w:pStyle w:val="ListParagraph"/>
        <w:numPr>
          <w:ilvl w:val="0"/>
          <w:numId w:val="2"/>
        </w:numPr>
        <w:spacing w:after="80"/>
      </w:pPr>
      <w:r>
        <w:t xml:space="preserve">Compliance rules catalog editor UI (Slice 3).</w:t>
      </w:r>
    </w:p>
    <w:p>
      <w:pPr>
        <w:pStyle w:val="ListParagraph"/>
        <w:numPr>
          <w:ilvl w:val="0"/>
          <w:numId w:val="2"/>
        </w:numPr>
        <w:spacing w:after="80"/>
      </w:pPr>
      <w:r>
        <w:t xml:space="preserve">Compliance evaluation engine logic (Slice 4).</w:t>
      </w:r>
    </w:p>
    <w:p>
      <w:pPr>
        <w:pStyle w:val="ListParagraph"/>
        <w:numPr>
          <w:ilvl w:val="0"/>
          <w:numId w:val="2"/>
        </w:numPr>
        <w:spacing w:after="80"/>
      </w:pPr>
      <w:r>
        <w:t xml:space="preserve">Graduate Affairs vetting workspace (Slice 5).</w:t>
      </w:r>
    </w:p>
    <w:p>
      <w:pPr>
        <w:pStyle w:val="ListParagraph"/>
        <w:numPr>
          <w:ilvl w:val="0"/>
          <w:numId w:val="2"/>
        </w:numPr>
        <w:spacing w:after="80"/>
      </w:pPr>
      <w:r>
        <w:t xml:space="preserve">Agenda assembly and batching (Slice 6).</w:t>
      </w:r>
    </w:p>
    <w:p>
      <w:pPr>
        <w:pStyle w:val="ListParagraph"/>
        <w:numPr>
          <w:ilvl w:val="0"/>
          <w:numId w:val="2"/>
        </w:numPr>
        <w:spacing w:after="80"/>
      </w:pPr>
      <w:r>
        <w:t xml:space="preserve">APCE event generation for ASRB (Slice 7).</w:t>
      </w:r>
    </w:p>
    <w:p>
      <w:pPr>
        <w:pStyle w:val="ListParagraph"/>
        <w:numPr>
          <w:ilvl w:val="0"/>
          <w:numId w:val="2"/>
        </w:numPr>
        <w:spacing w:after="80"/>
      </w:pPr>
      <w:r>
        <w:t xml:space="preserve">Chair cockpit ASRB view (Slice 8).</w:t>
      </w:r>
    </w:p>
    <w:p>
      <w:pPr>
        <w:pStyle w:val="ListParagraph"/>
        <w:numPr>
          <w:ilvl w:val="0"/>
          <w:numId w:val="2"/>
        </w:numPr>
        <w:spacing w:after="80"/>
      </w:pPr>
      <w:r>
        <w:t xml:space="preserve">Working paper generation (Slice 9).</w:t>
      </w:r>
    </w:p>
    <w:p>
      <w:pPr>
        <w:pStyle w:val="ListParagraph"/>
        <w:numPr>
          <w:ilvl w:val="0"/>
          <w:numId w:val="2"/>
        </w:numPr>
        <w:spacing w:after="80"/>
      </w:pPr>
      <w:r>
        <w:t xml:space="preserve">Member portal (Slice 10).</w:t>
      </w:r>
    </w:p>
    <w:p>
      <w:pPr>
        <w:pStyle w:val="ListParagraph"/>
        <w:numPr>
          <w:ilvl w:val="0"/>
          <w:numId w:val="2"/>
        </w:numPr>
        <w:spacing w:after="80"/>
      </w:pPr>
      <w:r>
        <w:t xml:space="preserve">Minutes and decisions workflow (Slice 11).</w:t>
      </w:r>
    </w:p>
    <w:p>
      <w:pPr>
        <w:pStyle w:val="ListParagraph"/>
        <w:numPr>
          <w:ilvl w:val="0"/>
          <w:numId w:val="2"/>
        </w:numPr>
        <w:spacing w:after="80"/>
      </w:pPr>
      <w:r>
        <w:t xml:space="preserve">Downstream stub logic (Slice 12).</w:t>
      </w:r>
    </w:p>
    <w:p>
      <w:pPr>
        <w:pStyle w:val="ListParagraph"/>
        <w:numPr>
          <w:ilvl w:val="0"/>
          <w:numId w:val="2"/>
        </w:numPr>
        <w:spacing w:after="80"/>
      </w:pPr>
      <w:r>
        <w:t xml:space="preserve">Circulation mode and ratification (Slice 13).</w:t>
      </w:r>
    </w:p>
    <w:p>
      <w:pPr>
        <w:pStyle w:val="ListParagraph"/>
        <w:numPr>
          <w:ilvl w:val="0"/>
          <w:numId w:val="2"/>
        </w:numPr>
        <w:spacing w:after="80"/>
      </w:pPr>
      <w:r>
        <w:t xml:space="preserve">Rule version audit and regulatory export (Slice 14).</w:t>
      </w:r>
    </w:p>
    <w:p>
      <w:pPr>
        <w:pStyle w:val="ListParagraph"/>
        <w:numPr>
          <w:ilvl w:val="0"/>
          <w:numId w:val="2"/>
        </w:numPr>
        <w:spacing w:after="80"/>
      </w:pPr>
      <w:r>
        <w:t xml:space="preserve">Any UI beyond what is strictly needed to demonstrate role-based access for new ASRB roles (the existing placeholder dashboard extends to show ASRB role stubs only; no functional ASRB screens in this slice).</w:t>
      </w:r>
    </w:p>
    <w:p>
      <w:pPr>
        <w:pStyle w:val="ListParagraph"/>
        <w:numPr>
          <w:ilvl w:val="0"/>
          <w:numId w:val="2"/>
        </w:numPr>
        <w:spacing w:after="80"/>
      </w:pPr>
      <w:r>
        <w:t xml:space="preserve">Any write-back to PeopleSoft or SAP SLM.</w:t>
      </w:r>
    </w:p>
    <w:p>
      <w:pPr>
        <w:pStyle w:val="Heading1"/>
      </w:pPr>
      <w:r>
        <w:t xml:space="preserve">Inputs to Read First</w:t>
      </w:r>
    </w:p>
    <w:p>
      <w:pPr>
        <w:spacing w:after="120"/>
      </w:pPr>
      <w:r>
        <w:t xml:space="preserve">Before writing any code, read the following in the repository:</w:t>
      </w:r>
    </w:p>
    <w:p>
      <w:pPr>
        <w:pStyle w:val="ListParagraph"/>
        <w:numPr>
          <w:ilvl w:val="0"/>
          <w:numId w:val="2"/>
        </w:numPr>
        <w:spacing w:after="80"/>
      </w:pPr>
      <w:r>
        <w:t xml:space="preserve">/docs/asrb/asrb_governance_spec.docx - Sections 1 (scope), 3 (case type catalog), 4 (compliance engine - read for predicate language context even though no implementation in this slice), 5 (data model), 6 (roles), 7 (stubs - data model only), 14 (integration with Board Governance).</w:t>
      </w:r>
    </w:p>
    <w:p>
      <w:pPr>
        <w:pStyle w:val="ListParagraph"/>
        <w:numPr>
          <w:ilvl w:val="0"/>
          <w:numId w:val="2"/>
        </w:numPr>
        <w:spacing w:after="80"/>
      </w:pPr>
      <w:r>
        <w:t xml:space="preserve">/docs/board_governance_spec.docx - Sections 3 (data model), 4 (roles), 6 (abstraction layer) for existing patterns to match.</w:t>
      </w:r>
    </w:p>
    <w:p>
      <w:pPr>
        <w:pStyle w:val="ListParagraph"/>
        <w:numPr>
          <w:ilvl w:val="0"/>
          <w:numId w:val="2"/>
        </w:numPr>
        <w:spacing w:after="80"/>
      </w:pPr>
      <w:r>
        <w:t xml:space="preserve">Existing /packages/domain source to see the canTransition pattern and enum style.</w:t>
      </w:r>
    </w:p>
    <w:p>
      <w:pPr>
        <w:pStyle w:val="ListParagraph"/>
        <w:numPr>
          <w:ilvl w:val="0"/>
          <w:numId w:val="2"/>
        </w:numPr>
        <w:spacing w:after="80"/>
      </w:pPr>
      <w:r>
        <w:t xml:space="preserve">Existing /packages/source-data source to see how IHRDirectoryReader is structured; mirror that for the new readers.</w:t>
      </w:r>
    </w:p>
    <w:p>
      <w:pPr>
        <w:pStyle w:val="ListParagraph"/>
        <w:numPr>
          <w:ilvl w:val="0"/>
          <w:numId w:val="2"/>
        </w:numPr>
        <w:spacing w:after="80"/>
      </w:pPr>
      <w:r>
        <w:t xml:space="preserve">Existing prisma/schema.prisma to see the naming, indexing, and relation-policy patterns.</w:t>
      </w:r>
    </w:p>
    <w:p>
      <w:pPr>
        <w:pStyle w:val="ListParagraph"/>
        <w:numPr>
          <w:ilvl w:val="0"/>
          <w:numId w:val="2"/>
        </w:numPr>
        <w:spacing w:after="80"/>
      </w:pPr>
      <w:r>
        <w:t xml:space="preserve">CONTRIBUTING.md for naming, error handling, test patterns, and commit conventions.</w:t>
      </w:r>
    </w:p>
    <w:p>
      <w:pPr>
        <w:pStyle w:val="Heading1"/>
      </w:pPr>
      <w:r>
        <w:t xml:space="preserve">Deliverables</w:t>
      </w:r>
    </w:p>
    <w:p>
      <w:pPr>
        <w:pStyle w:val="Heading2"/>
      </w:pPr>
      <w:r>
        <w:t xml:space="preserve">Schema Changes</w:t>
      </w:r>
    </w:p>
    <w:p>
      <w:pPr>
        <w:spacing w:after="120"/>
      </w:pPr>
      <w:r>
        <w:t xml:space="preserve">Additions to prisma/schema.prisma only; do not modify existing Board Governance entities. Every new entity must:</w:t>
      </w:r>
    </w:p>
    <w:p>
      <w:pPr>
        <w:pStyle w:val="ListParagraph"/>
        <w:numPr>
          <w:ilvl w:val="0"/>
          <w:numId w:val="2"/>
        </w:numPr>
        <w:spacing w:after="80"/>
      </w:pPr>
      <w:r>
        <w:t xml:space="preserve">Have attributes per Section 5 of the ASRB specification.</w:t>
      </w:r>
    </w:p>
    <w:p>
      <w:pPr>
        <w:pStyle w:val="ListParagraph"/>
        <w:numPr>
          <w:ilvl w:val="0"/>
          <w:numId w:val="2"/>
        </w:numPr>
        <w:spacing w:after="80"/>
      </w:pPr>
      <w:r>
        <w:t xml:space="preserve">Use the same naming convention as existing entities (snake_case columns in DB if already used, camelCase TypeScript fields otherwise consistent with the repo).</w:t>
      </w:r>
    </w:p>
    <w:p>
      <w:pPr>
        <w:pStyle w:val="ListParagraph"/>
        <w:numPr>
          <w:ilvl w:val="0"/>
          <w:numId w:val="2"/>
        </w:numPr>
        <w:spacing w:after="80"/>
      </w:pPr>
      <w:r>
        <w:t xml:space="preserve">Have indexes on all foreign keys and status fields.</w:t>
      </w:r>
    </w:p>
    <w:p>
      <w:pPr>
        <w:pStyle w:val="ListParagraph"/>
        <w:numPr>
          <w:ilvl w:val="0"/>
          <w:numId w:val="2"/>
        </w:numPr>
        <w:spacing w:after="80"/>
      </w:pPr>
      <w:r>
        <w:t xml:space="preserve">Use appropriate onDelete and onUpdate relation policies (RESTRICT for audit-critical relations, CASCADE only for truly dependent records like CaseAttachment -&gt; ASRBCase).</w:t>
      </w:r>
    </w:p>
    <w:p>
      <w:pPr>
        <w:pStyle w:val="ListParagraph"/>
        <w:numPr>
          <w:ilvl w:val="0"/>
          <w:numId w:val="2"/>
        </w:numPr>
        <w:spacing w:after="80"/>
      </w:pPr>
      <w:r>
        <w:t xml:space="preserve">Include uniqueness constraints where implied by the spec (e.g., ASRBMeeting.meeting_number unique; ComplianceRule (rule_id, version) unique).</w:t>
      </w:r>
    </w:p>
    <w:p>
      <w:pPr>
        <w:pStyle w:val="Heading2"/>
      </w:pPr>
      <w:r>
        <w:t xml:space="preserve">Domain Package Additions</w:t>
      </w:r>
    </w:p>
    <w:p>
      <w:pPr>
        <w:spacing w:after="120"/>
      </w:pPr>
      <w:r>
        <w:t xml:space="preserve">New exports from @ums/domain:</w:t>
      </w:r>
    </w:p>
    <w:p>
      <w:pPr>
        <w:pStyle w:val="ListParagraph"/>
        <w:numPr>
          <w:ilvl w:val="0"/>
          <w:numId w:val="2"/>
        </w:numPr>
        <w:spacing w:after="80"/>
      </w:pPr>
      <w:r>
        <w:t xml:space="preserve">Enums: ASRBCaseStatus, ComplianceEvaluationStatus, ASRBAgendaStatus, StubStatus, CirculationDecisionStatus, CaseType, CaseOutcome, RuleSource, RuleSeverity, RuleOutcome.</w:t>
      </w:r>
    </w:p>
    <w:p>
      <w:pPr>
        <w:pStyle w:val="ListParagraph"/>
        <w:numPr>
          <w:ilvl w:val="0"/>
          <w:numId w:val="2"/>
        </w:numPr>
        <w:spacing w:after="80"/>
      </w:pPr>
      <w:r>
        <w:t xml:space="preserve">Transition tables and canTransition functions for each lifecycle from Section 5.1 of the ASRB spec.</w:t>
      </w:r>
    </w:p>
    <w:p>
      <w:pPr>
        <w:pStyle w:val="ListParagraph"/>
        <w:numPr>
          <w:ilvl w:val="0"/>
          <w:numId w:val="2"/>
        </w:numPr>
        <w:spacing w:after="80"/>
      </w:pPr>
      <w:r>
        <w:t xml:space="preserve">Shared type definitions for: AsrbCaseRef, StudentRef, SupervisorRef, ProgrammeRef, FeederResolutionRef.</w:t>
      </w:r>
    </w:p>
    <w:p>
      <w:pPr>
        <w:pStyle w:val="Heading2"/>
      </w:pPr>
      <w:r>
        <w:t xml:space="preserve">Source-Data Package Additions</w:t>
      </w:r>
    </w:p>
    <w:p>
      <w:pPr>
        <w:spacing w:after="120"/>
      </w:pPr>
      <w:r>
        <w:t xml:space="preserve">New exports from @ums/source-data:</w:t>
      </w:r>
    </w:p>
    <w:p>
      <w:pPr>
        <w:pStyle w:val="ListParagraph"/>
        <w:numPr>
          <w:ilvl w:val="0"/>
          <w:numId w:val="2"/>
        </w:numPr>
        <w:spacing w:after="80"/>
      </w:pPr>
      <w:r>
        <w:t xml:space="preserve">Interface IStudentAcademicReader with methods: getStudent(ref), getEnrolmentHistory(ref), getCourseworkStatus(ref), getComprehensiveExamStatus(ref). Each method returns a typed result or null; define the result types explicitly.</w:t>
      </w:r>
    </w:p>
    <w:p>
      <w:pPr>
        <w:pStyle w:val="ListParagraph"/>
        <w:numPr>
          <w:ilvl w:val="0"/>
          <w:numId w:val="2"/>
        </w:numPr>
        <w:spacing w:after="80"/>
      </w:pPr>
      <w:r>
        <w:t xml:space="preserve">Interface ISupervisorProfileReader with methods: getSupervisor(ref), getActiveSupervisionLoad(ref), getPublicationProfile(ref), getHighestQualification(ref).</w:t>
      </w:r>
    </w:p>
    <w:p>
      <w:pPr>
        <w:pStyle w:val="ListParagraph"/>
        <w:numPr>
          <w:ilvl w:val="0"/>
          <w:numId w:val="2"/>
        </w:numPr>
        <w:spacing w:after="80"/>
      </w:pPr>
      <w:r>
        <w:t xml:space="preserve">MockReader implementations for both, backed by deterministic seed fixtures.</w:t>
      </w:r>
    </w:p>
    <w:p>
      <w:pPr>
        <w:pStyle w:val="ListParagraph"/>
        <w:numPr>
          <w:ilvl w:val="0"/>
          <w:numId w:val="2"/>
        </w:numPr>
        <w:spacing w:after="80"/>
      </w:pPr>
      <w:r>
        <w:t xml:space="preserve">WarehouseReader stubs throwing NotImplementedError("ASRB readers: warehouse implementation pending").</w:t>
      </w:r>
    </w:p>
    <w:p>
      <w:pPr>
        <w:pStyle w:val="ListParagraph"/>
        <w:numPr>
          <w:ilvl w:val="0"/>
          <w:numId w:val="2"/>
        </w:numPr>
        <w:spacing w:after="80"/>
      </w:pPr>
      <w:r>
        <w:t xml:space="preserve">Contract tests asserting MockReader implementations return schema-valid, non-empty data for each method.</w:t>
      </w:r>
    </w:p>
    <w:p>
      <w:pPr>
        <w:pStyle w:val="Heading2"/>
      </w:pPr>
      <w:r>
        <w:t xml:space="preserve">Seed Data</w:t>
      </w:r>
    </w:p>
    <w:p>
      <w:pPr>
        <w:pStyle w:val="ListParagraph"/>
        <w:numPr>
          <w:ilvl w:val="0"/>
          <w:numId w:val="2"/>
        </w:numPr>
        <w:spacing w:after="80"/>
      </w:pPr>
      <w:r>
        <w:t xml:space="preserve">Users: 1 Graduate Affairs Officer, 1 Dean (Graduate Studies), 1 ASRB Chair (reusing the VC account from Board Governance seed), 4 ASRB Members (2 internal, 2 external), 1 Registrar (reuse), 3 Downstream Office users (1 ORIC, 1 Controller of Examinations, 1 Treasurer).</w:t>
      </w:r>
    </w:p>
    <w:p>
      <w:pPr>
        <w:pStyle w:val="ListParagraph"/>
        <w:numPr>
          <w:ilvl w:val="0"/>
          <w:numId w:val="2"/>
        </w:numPr>
        <w:spacing w:after="80"/>
      </w:pPr>
      <w:r>
        <w:t xml:space="preserve">Roles: new role records for each new role type, with permission arrays enumerated per Section 6 of the ASRB spec.</w:t>
      </w:r>
    </w:p>
    <w:p>
      <w:pPr>
        <w:pStyle w:val="ListParagraph"/>
        <w:numPr>
          <w:ilvl w:val="0"/>
          <w:numId w:val="2"/>
        </w:numPr>
        <w:spacing w:after="80"/>
      </w:pPr>
      <w:r>
        <w:t xml:space="preserve">2 ASRBMeetings: one CONCLUDED (with seed historical cases attached), one SCHEDULED in the near future.</w:t>
      </w:r>
    </w:p>
    <w:p>
      <w:pPr>
        <w:pStyle w:val="ListParagraph"/>
        <w:numPr>
          <w:ilvl w:val="0"/>
          <w:numId w:val="2"/>
        </w:numPr>
        <w:spacing w:after="80"/>
      </w:pPr>
      <w:r>
        <w:t xml:space="preserve">10 students, 5 supervisors with varied qualifications and supervision loads.</w:t>
      </w:r>
    </w:p>
    <w:p>
      <w:pPr>
        <w:pStyle w:val="ListParagraph"/>
        <w:numPr>
          <w:ilvl w:val="0"/>
          <w:numId w:val="2"/>
        </w:numPr>
        <w:spacing w:after="80"/>
      </w:pPr>
      <w:r>
        <w:t xml:space="preserve">8 ASRBCases across at least 4 case types (SYNOPSIS_APPROVAL, GEC_CONSTITUTION, EXAMINER_APPOINTMENT, RESULT_APPROVAL), in varied states.</w:t>
      </w:r>
    </w:p>
    <w:p>
      <w:pPr>
        <w:pStyle w:val="ListParagraph"/>
        <w:numPr>
          <w:ilvl w:val="0"/>
          <w:numId w:val="2"/>
        </w:numPr>
        <w:spacing w:after="80"/>
      </w:pPr>
      <w:r>
        <w:t xml:space="preserve">2 ComplianceRule seed records as illustrative examples only, not a production rule set. Mark both with source=HEC and effective_from=today. Note in the seed script comment that the full HEC rule set will be loaded by the System Administrator via the rule editor in Slice 3.</w:t>
      </w:r>
    </w:p>
    <w:p>
      <w:pPr>
        <w:pStyle w:val="Heading2"/>
      </w:pPr>
      <w:r>
        <w:t xml:space="preserve">Role Middleware Extensions</w:t>
      </w:r>
    </w:p>
    <w:p>
      <w:pPr>
        <w:pStyle w:val="ListParagraph"/>
        <w:numPr>
          <w:ilvl w:val="0"/>
          <w:numId w:val="2"/>
        </w:numPr>
        <w:spacing w:after="80"/>
      </w:pPr>
      <w:r>
        <w:t xml:space="preserve">Add new permission entries to the centralised permission catalog for ASRB-specific actions (example permission codes: ASRB_VET_CASE, ASRB_APPROVE_AGENDA, ASRB_RECORD_DECISION, ASRB_MANAGE_RULES, ASRB_VIEW_MEMBER_PORTAL, ASRB_ACK_NOTIFICATION). Do not implement routes that use them; the permissions only need to exist and be test-covered.</w:t>
      </w:r>
    </w:p>
    <w:p>
      <w:pPr>
        <w:pStyle w:val="ListParagraph"/>
        <w:numPr>
          <w:ilvl w:val="0"/>
          <w:numId w:val="2"/>
        </w:numPr>
        <w:spacing w:after="80"/>
      </w:pPr>
      <w:r>
        <w:t xml:space="preserve">Extend the placeholder /dashboard to render a role stub for each new ASRB role, listing the (disabled) links to workspaces planned for later slices.</w:t>
      </w:r>
    </w:p>
    <w:p>
      <w:pPr>
        <w:pStyle w:val="Heading2"/>
      </w:pPr>
      <w:r>
        <w:t xml:space="preserve">Unit and Contract Tests</w:t>
      </w:r>
    </w:p>
    <w:p>
      <w:pPr>
        <w:pStyle w:val="ListParagraph"/>
        <w:numPr>
          <w:ilvl w:val="0"/>
          <w:numId w:val="2"/>
        </w:numPr>
        <w:spacing w:after="80"/>
      </w:pPr>
      <w:r>
        <w:t xml:space="preserve">canTransition tests: full allowed/disallowed matrix for each new state machine.</w:t>
      </w:r>
    </w:p>
    <w:p>
      <w:pPr>
        <w:pStyle w:val="ListParagraph"/>
        <w:numPr>
          <w:ilvl w:val="0"/>
          <w:numId w:val="2"/>
        </w:numPr>
        <w:spacing w:after="80"/>
      </w:pPr>
      <w:r>
        <w:t xml:space="preserve">Seed integrity tests: running the seed produces expected record counts; foreign keys resolve; status values are valid.</w:t>
      </w:r>
    </w:p>
    <w:p>
      <w:pPr>
        <w:pStyle w:val="ListParagraph"/>
        <w:numPr>
          <w:ilvl w:val="0"/>
          <w:numId w:val="2"/>
        </w:numPr>
        <w:spacing w:after="80"/>
      </w:pPr>
      <w:r>
        <w:t xml:space="preserve">Reader contract tests: MockReader implementations of both new interfaces return valid, non-empty data and produce deterministic results across runs.</w:t>
      </w:r>
    </w:p>
    <w:p>
      <w:pPr>
        <w:pStyle w:val="ListParagraph"/>
        <w:numPr>
          <w:ilvl w:val="0"/>
          <w:numId w:val="2"/>
        </w:numPr>
        <w:spacing w:after="80"/>
      </w:pPr>
      <w:r>
        <w:t xml:space="preserve">Permission catalog test: each new permission code is present exactly once; every new role has a documented permission set.</w:t>
      </w:r>
    </w:p>
    <w:p>
      <w:pPr>
        <w:pStyle w:val="Heading2"/>
      </w:pPr>
      <w:r>
        <w:t xml:space="preserve">Documentation</w:t>
      </w:r>
    </w:p>
    <w:p>
      <w:pPr>
        <w:pStyle w:val="ListParagraph"/>
        <w:numPr>
          <w:ilvl w:val="0"/>
          <w:numId w:val="2"/>
        </w:numPr>
        <w:spacing w:after="80"/>
      </w:pPr>
      <w:r>
        <w:t xml:space="preserve">ADR 0002 at /docs/adr/0002-asrb-module-foundations.md - decisions recorded: shared schema reuse, new reader interfaces, configurable rules catalog rationale (not the rules engine itself, just why catalog-as-data).</w:t>
      </w:r>
    </w:p>
    <w:p>
      <w:pPr>
        <w:pStyle w:val="ListParagraph"/>
        <w:numPr>
          <w:ilvl w:val="0"/>
          <w:numId w:val="2"/>
        </w:numPr>
        <w:spacing w:after="80"/>
      </w:pPr>
      <w:r>
        <w:t xml:space="preserve">/docs/asrb/README.md - one-page index pointing to the specification and listing planned slices with their current status (Slice 1 complete after this PR merges).</w:t>
      </w:r>
    </w:p>
    <w:p>
      <w:pPr>
        <w:pStyle w:val="ListParagraph"/>
        <w:numPr>
          <w:ilvl w:val="0"/>
          <w:numId w:val="2"/>
        </w:numPr>
        <w:spacing w:after="80"/>
      </w:pPr>
      <w:r>
        <w:t xml:space="preserve">Changelog entry in the root CHANGELOG.md (create if missing): 'Added ASRB domain foundations (schema, domain package, source-data readers, seed data, role extensions).'</w:t>
      </w:r>
    </w:p>
    <w:p>
      <w:pPr>
        <w:pStyle w:val="Heading1"/>
      </w:pPr>
      <w:r>
        <w:t xml:space="preserve">Acceptance Criteria</w:t>
      </w:r>
    </w:p>
    <w:p>
      <w:pPr>
        <w:spacing w:after="120"/>
      </w:pPr>
      <w:r>
        <w:t xml:space="preserve">This slice is accepted when every item below is demonstrably true. Evidence: passing CI, a PR description with a completed checklist, and a short screen recording of the seed workflow and a login as each new role type showing the correct dashboard stub.</w:t>
      </w:r>
    </w:p>
    <w:p>
      <w:pPr>
        <w:pStyle w:val="Heading2"/>
      </w:pPr>
      <w:r>
        <w:t xml:space="preserve">Setup</w:t>
      </w:r>
    </w:p>
    <w:p>
      <w:pPr>
        <w:pStyle w:val="ListParagraph"/>
        <w:numPr>
          <w:ilvl w:val="0"/>
          <w:numId w:val="3"/>
        </w:numPr>
        <w:spacing w:after="80"/>
      </w:pPr>
      <w:r>
        <w:t xml:space="preserve">pnpm install, pnpm prisma migrate dev, pnpm prisma db seed, pnpm dev all succeed with no errors on a fresh clone.</w:t>
      </w:r>
    </w:p>
    <w:p>
      <w:pPr>
        <w:pStyle w:val="ListParagraph"/>
        <w:numPr>
          <w:ilvl w:val="0"/>
          <w:numId w:val="3"/>
        </w:numPr>
        <w:spacing w:after="80"/>
      </w:pPr>
      <w:r>
        <w:t xml:space="preserve">No Board Governance functionality is broken; all existing tests continue to pass.</w:t>
      </w:r>
    </w:p>
    <w:p>
      <w:pPr>
        <w:pStyle w:val="Heading2"/>
      </w:pPr>
      <w:r>
        <w:t xml:space="preserve">Schema</w:t>
      </w:r>
    </w:p>
    <w:p>
      <w:pPr>
        <w:pStyle w:val="ListParagraph"/>
        <w:numPr>
          <w:ilvl w:val="0"/>
          <w:numId w:val="3"/>
        </w:numPr>
        <w:spacing w:after="80"/>
      </w:pPr>
      <w:r>
        <w:t xml:space="preserve">All entities from Section 5 of the ASRB spec are present in prisma/schema.prisma.</w:t>
      </w:r>
    </w:p>
    <w:p>
      <w:pPr>
        <w:pStyle w:val="ListParagraph"/>
        <w:numPr>
          <w:ilvl w:val="0"/>
          <w:numId w:val="3"/>
        </w:numPr>
        <w:spacing w:after="80"/>
      </w:pPr>
      <w:r>
        <w:t xml:space="preserve">Relations, indexes, and uniqueness constraints match the specification.</w:t>
      </w:r>
    </w:p>
    <w:p>
      <w:pPr>
        <w:pStyle w:val="ListParagraph"/>
        <w:numPr>
          <w:ilvl w:val="0"/>
          <w:numId w:val="3"/>
        </w:numPr>
        <w:spacing w:after="80"/>
      </w:pPr>
      <w:r>
        <w:t xml:space="preserve">Migration applies cleanly to both a fresh DB and a DB containing only Board Governance tables.</w:t>
      </w:r>
    </w:p>
    <w:p>
      <w:pPr>
        <w:pStyle w:val="Heading2"/>
      </w:pPr>
      <w:r>
        <w:t xml:space="preserve">Domain</w:t>
      </w:r>
    </w:p>
    <w:p>
      <w:pPr>
        <w:pStyle w:val="ListParagraph"/>
        <w:numPr>
          <w:ilvl w:val="0"/>
          <w:numId w:val="3"/>
        </w:numPr>
        <w:spacing w:after="80"/>
      </w:pPr>
      <w:r>
        <w:t xml:space="preserve">Every ASRB enum and canTransition function is exported from @ums/domain.</w:t>
      </w:r>
    </w:p>
    <w:p>
      <w:pPr>
        <w:pStyle w:val="ListParagraph"/>
        <w:numPr>
          <w:ilvl w:val="0"/>
          <w:numId w:val="3"/>
        </w:numPr>
        <w:spacing w:after="80"/>
      </w:pPr>
      <w:r>
        <w:t xml:space="preserve">Full transition matrix tests pass for: ASRBCase, ComplianceEvaluation, ASRBAgenda, Stub, CirculationDecision.</w:t>
      </w:r>
    </w:p>
    <w:p>
      <w:pPr>
        <w:pStyle w:val="Heading2"/>
      </w:pPr>
      <w:r>
        <w:t xml:space="preserve">Source-Data</w:t>
      </w:r>
    </w:p>
    <w:p>
      <w:pPr>
        <w:pStyle w:val="ListParagraph"/>
        <w:numPr>
          <w:ilvl w:val="0"/>
          <w:numId w:val="3"/>
        </w:numPr>
        <w:spacing w:after="80"/>
      </w:pPr>
      <w:r>
        <w:t xml:space="preserve">IStudentAcademicReader and ISupervisorProfileReader are exported with documented types.</w:t>
      </w:r>
    </w:p>
    <w:p>
      <w:pPr>
        <w:pStyle w:val="ListParagraph"/>
        <w:numPr>
          <w:ilvl w:val="0"/>
          <w:numId w:val="3"/>
        </w:numPr>
        <w:spacing w:after="80"/>
      </w:pPr>
      <w:r>
        <w:t xml:space="preserve">MockReader implements both interfaces and returns deterministic seed data.</w:t>
      </w:r>
    </w:p>
    <w:p>
      <w:pPr>
        <w:pStyle w:val="ListParagraph"/>
        <w:numPr>
          <w:ilvl w:val="0"/>
          <w:numId w:val="3"/>
        </w:numPr>
        <w:spacing w:after="80"/>
      </w:pPr>
      <w:r>
        <w:t xml:space="preserve">createReader('warehouse') for the new readers throws NotImplementedError with a clear message.</w:t>
      </w:r>
    </w:p>
    <w:p>
      <w:pPr>
        <w:pStyle w:val="ListParagraph"/>
        <w:numPr>
          <w:ilvl w:val="0"/>
          <w:numId w:val="3"/>
        </w:numPr>
        <w:spacing w:after="80"/>
      </w:pPr>
      <w:r>
        <w:t xml:space="preserve">Contract tests pass for both new readers.</w:t>
      </w:r>
    </w:p>
    <w:p>
      <w:pPr>
        <w:pStyle w:val="Heading2"/>
      </w:pPr>
      <w:r>
        <w:t xml:space="preserve">Seed</w:t>
      </w:r>
    </w:p>
    <w:p>
      <w:pPr>
        <w:pStyle w:val="ListParagraph"/>
        <w:numPr>
          <w:ilvl w:val="0"/>
          <w:numId w:val="3"/>
        </w:numPr>
        <w:spacing w:after="80"/>
      </w:pPr>
      <w:r>
        <w:t xml:space="preserve">Seed creates all required entities with no foreign-key errors.</w:t>
      </w:r>
    </w:p>
    <w:p>
      <w:pPr>
        <w:pStyle w:val="ListParagraph"/>
        <w:numPr>
          <w:ilvl w:val="0"/>
          <w:numId w:val="3"/>
        </w:numPr>
        <w:spacing w:after="80"/>
      </w:pPr>
      <w:r>
        <w:t xml:space="preserve">Seed produces 2 meetings, 6 ASRB members, 8 cases across 4+ case types, 2 rules, all new role users.</w:t>
      </w:r>
    </w:p>
    <w:p>
      <w:pPr>
        <w:pStyle w:val="ListParagraph"/>
        <w:numPr>
          <w:ilvl w:val="0"/>
          <w:numId w:val="3"/>
        </w:numPr>
        <w:spacing w:after="80"/>
      </w:pPr>
      <w:r>
        <w:t xml:space="preserve">Seed is idempotent or clearly documented as destructive-on-rerun.</w:t>
      </w:r>
    </w:p>
    <w:p>
      <w:pPr>
        <w:pStyle w:val="Heading2"/>
      </w:pPr>
      <w:r>
        <w:t xml:space="preserve">Roles and Permissions</w:t>
      </w:r>
    </w:p>
    <w:p>
      <w:pPr>
        <w:pStyle w:val="ListParagraph"/>
        <w:numPr>
          <w:ilvl w:val="0"/>
          <w:numId w:val="3"/>
        </w:numPr>
        <w:spacing w:after="80"/>
      </w:pPr>
      <w:r>
        <w:t xml:space="preserve">Each new ASRB role has a seed User and is assignable.</w:t>
      </w:r>
    </w:p>
    <w:p>
      <w:pPr>
        <w:pStyle w:val="ListParagraph"/>
        <w:numPr>
          <w:ilvl w:val="0"/>
          <w:numId w:val="3"/>
        </w:numPr>
        <w:spacing w:after="80"/>
      </w:pPr>
      <w:r>
        <w:t xml:space="preserve">Logging in as each new role reaches /dashboard and sees a role-specific stub.</w:t>
      </w:r>
    </w:p>
    <w:p>
      <w:pPr>
        <w:pStyle w:val="ListParagraph"/>
        <w:numPr>
          <w:ilvl w:val="0"/>
          <w:numId w:val="3"/>
        </w:numPr>
        <w:spacing w:after="80"/>
      </w:pPr>
      <w:r>
        <w:t xml:space="preserve">Permission catalog contains all new permission codes with no duplicates.</w:t>
      </w:r>
    </w:p>
    <w:p>
      <w:pPr>
        <w:pStyle w:val="Heading2"/>
      </w:pPr>
      <w:r>
        <w:t xml:space="preserve">Documentation</w:t>
      </w:r>
    </w:p>
    <w:p>
      <w:pPr>
        <w:pStyle w:val="ListParagraph"/>
        <w:numPr>
          <w:ilvl w:val="0"/>
          <w:numId w:val="3"/>
        </w:numPr>
        <w:spacing w:after="80"/>
      </w:pPr>
      <w:r>
        <w:t xml:space="preserve">ADR 0002 is present, dated, and cross-referenced from CONTRIBUTING.md.</w:t>
      </w:r>
    </w:p>
    <w:p>
      <w:pPr>
        <w:pStyle w:val="ListParagraph"/>
        <w:numPr>
          <w:ilvl w:val="0"/>
          <w:numId w:val="3"/>
        </w:numPr>
        <w:spacing w:after="80"/>
      </w:pPr>
      <w:r>
        <w:t xml:space="preserve">/docs/asrb/README.md is present and lists all 14 planned slices with their current status.</w:t>
      </w:r>
    </w:p>
    <w:p>
      <w:pPr>
        <w:pStyle w:val="ListParagraph"/>
        <w:numPr>
          <w:ilvl w:val="0"/>
          <w:numId w:val="3"/>
        </w:numPr>
        <w:spacing w:after="80"/>
      </w:pPr>
      <w:r>
        <w:t xml:space="preserve">CHANGELOG updated.</w:t>
      </w:r>
    </w:p>
    <w:p>
      <w:pPr>
        <w:pStyle w:val="Heading2"/>
      </w:pPr>
      <w:r>
        <w:t xml:space="preserve">CI and Conventions</w:t>
      </w:r>
    </w:p>
    <w:p>
      <w:pPr>
        <w:pStyle w:val="ListParagraph"/>
        <w:numPr>
          <w:ilvl w:val="0"/>
          <w:numId w:val="3"/>
        </w:numPr>
        <w:spacing w:after="80"/>
      </w:pPr>
      <w:r>
        <w:t xml:space="preserve">Lint, typecheck, prisma migrate check, unit tests, contract tests all pass in CI.</w:t>
      </w:r>
    </w:p>
    <w:p>
      <w:pPr>
        <w:pStyle w:val="ListParagraph"/>
        <w:numPr>
          <w:ilvl w:val="0"/>
          <w:numId w:val="3"/>
        </w:numPr>
        <w:spacing w:after="80"/>
      </w:pPr>
      <w:r>
        <w:t xml:space="preserve">All commits follow the conventional commits convention established in CONTRIBUTING.md.</w:t>
      </w:r>
    </w:p>
    <w:p>
      <w:pPr>
        <w:pStyle w:val="ListParagraph"/>
        <w:numPr>
          <w:ilvl w:val="0"/>
          <w:numId w:val="3"/>
        </w:numPr>
        <w:spacing w:after="80"/>
      </w:pPr>
      <w:r>
        <w:t xml:space="preserve">No new runtime dependencies added without justification in the PR description.</w:t>
      </w:r>
    </w:p>
    <w:p>
      <w:pPr>
        <w:pStyle w:val="Heading1"/>
      </w:pPr>
      <w:r>
        <w:t xml:space="preserve">Out-of-Scope Reminders</w:t>
      </w:r>
    </w:p>
    <w:p>
      <w:pPr>
        <w:spacing w:after="120"/>
      </w:pPr>
      <w:r>
        <w:t xml:space="preserve">Explicitly do not build the following in this slice. Each item is a later slice or a permanent exclusion.</w:t>
      </w:r>
    </w:p>
    <w:p>
      <w:pPr>
        <w:pStyle w:val="ListParagraph"/>
        <w:numPr>
          <w:ilvl w:val="0"/>
          <w:numId w:val="2"/>
        </w:numPr>
        <w:spacing w:after="80"/>
      </w:pPr>
      <w:r>
        <w:rPr>
          <w:b/>
          <w:bCs/>
        </w:rPr>
        <w:t xml:space="preserve">Intake API: </w:t>
      </w:r>
      <w:r>
        <w:t xml:space="preserve">Slice 2.</w:t>
      </w:r>
    </w:p>
    <w:p>
      <w:pPr>
        <w:pStyle w:val="ListParagraph"/>
        <w:numPr>
          <w:ilvl w:val="0"/>
          <w:numId w:val="2"/>
        </w:numPr>
        <w:spacing w:after="80"/>
      </w:pPr>
      <w:r>
        <w:rPr>
          <w:b/>
          <w:bCs/>
        </w:rPr>
        <w:t xml:space="preserve">Rules catalog editor UI and predicate parser: </w:t>
      </w:r>
      <w:r>
        <w:t xml:space="preserve">Slice 3.</w:t>
      </w:r>
    </w:p>
    <w:p>
      <w:pPr>
        <w:pStyle w:val="ListParagraph"/>
        <w:numPr>
          <w:ilvl w:val="0"/>
          <w:numId w:val="2"/>
        </w:numPr>
        <w:spacing w:after="80"/>
      </w:pPr>
      <w:r>
        <w:rPr>
          <w:b/>
          <w:bCs/>
        </w:rPr>
        <w:t xml:space="preserve">Compliance evaluation engine: </w:t>
      </w:r>
      <w:r>
        <w:t xml:space="preserve">Slice 4.</w:t>
      </w:r>
    </w:p>
    <w:p>
      <w:pPr>
        <w:pStyle w:val="ListParagraph"/>
        <w:numPr>
          <w:ilvl w:val="0"/>
          <w:numId w:val="2"/>
        </w:numPr>
        <w:spacing w:after="80"/>
      </w:pPr>
      <w:r>
        <w:rPr>
          <w:b/>
          <w:bCs/>
        </w:rPr>
        <w:t xml:space="preserve">Graduate Affairs vetting workspace: </w:t>
      </w:r>
      <w:r>
        <w:t xml:space="preserve">Slice 5.</w:t>
      </w:r>
    </w:p>
    <w:p>
      <w:pPr>
        <w:pStyle w:val="ListParagraph"/>
        <w:numPr>
          <w:ilvl w:val="0"/>
          <w:numId w:val="2"/>
        </w:numPr>
        <w:spacing w:after="80"/>
      </w:pPr>
      <w:r>
        <w:rPr>
          <w:b/>
          <w:bCs/>
        </w:rPr>
        <w:t xml:space="preserve">Agenda assembly and batching: </w:t>
      </w:r>
      <w:r>
        <w:t xml:space="preserve">Slice 6.</w:t>
      </w:r>
    </w:p>
    <w:p>
      <w:pPr>
        <w:pStyle w:val="ListParagraph"/>
        <w:numPr>
          <w:ilvl w:val="0"/>
          <w:numId w:val="2"/>
        </w:numPr>
        <w:spacing w:after="80"/>
      </w:pPr>
      <w:r>
        <w:rPr>
          <w:b/>
          <w:bCs/>
        </w:rPr>
        <w:t xml:space="preserve">APCE event generation for ASRB: </w:t>
      </w:r>
      <w:r>
        <w:t xml:space="preserve">Slice 7.</w:t>
      </w:r>
    </w:p>
    <w:p>
      <w:pPr>
        <w:pStyle w:val="ListParagraph"/>
        <w:numPr>
          <w:ilvl w:val="0"/>
          <w:numId w:val="2"/>
        </w:numPr>
        <w:spacing w:after="80"/>
      </w:pPr>
      <w:r>
        <w:rPr>
          <w:b/>
          <w:bCs/>
        </w:rPr>
        <w:t xml:space="preserve">Chair cockpit ASRB view: </w:t>
      </w:r>
      <w:r>
        <w:t xml:space="preserve">Slice 8 (also depends on Board Governance cockpit being in place).</w:t>
      </w:r>
    </w:p>
    <w:p>
      <w:pPr>
        <w:pStyle w:val="ListParagraph"/>
        <w:numPr>
          <w:ilvl w:val="0"/>
          <w:numId w:val="2"/>
        </w:numPr>
        <w:spacing w:after="80"/>
      </w:pPr>
      <w:r>
        <w:rPr>
          <w:b/>
          <w:bCs/>
        </w:rPr>
        <w:t xml:space="preserve">Working paper generation: </w:t>
      </w:r>
      <w:r>
        <w:t xml:space="preserve">Slice 9.</w:t>
      </w:r>
    </w:p>
    <w:p>
      <w:pPr>
        <w:pStyle w:val="ListParagraph"/>
        <w:numPr>
          <w:ilvl w:val="0"/>
          <w:numId w:val="2"/>
        </w:numPr>
        <w:spacing w:after="80"/>
      </w:pPr>
      <w:r>
        <w:rPr>
          <w:b/>
          <w:bCs/>
        </w:rPr>
        <w:t xml:space="preserve">Member portal: </w:t>
      </w:r>
      <w:r>
        <w:t xml:space="preserve">Slice 10.</w:t>
      </w:r>
    </w:p>
    <w:p>
      <w:pPr>
        <w:pStyle w:val="ListParagraph"/>
        <w:numPr>
          <w:ilvl w:val="0"/>
          <w:numId w:val="2"/>
        </w:numPr>
        <w:spacing w:after="80"/>
      </w:pPr>
      <w:r>
        <w:rPr>
          <w:b/>
          <w:bCs/>
        </w:rPr>
        <w:t xml:space="preserve">Minutes, decisions, escalations: </w:t>
      </w:r>
      <w:r>
        <w:t xml:space="preserve">Slice 11.</w:t>
      </w:r>
    </w:p>
    <w:p>
      <w:pPr>
        <w:pStyle w:val="ListParagraph"/>
        <w:numPr>
          <w:ilvl w:val="0"/>
          <w:numId w:val="2"/>
        </w:numPr>
        <w:spacing w:after="80"/>
      </w:pPr>
      <w:r>
        <w:rPr>
          <w:b/>
          <w:bCs/>
        </w:rPr>
        <w:t xml:space="preserve">Downstream stub logic: </w:t>
      </w:r>
      <w:r>
        <w:t xml:space="preserve">Slice 12.</w:t>
      </w:r>
    </w:p>
    <w:p>
      <w:pPr>
        <w:pStyle w:val="ListParagraph"/>
        <w:numPr>
          <w:ilvl w:val="0"/>
          <w:numId w:val="2"/>
        </w:numPr>
        <w:spacing w:after="80"/>
      </w:pPr>
      <w:r>
        <w:rPr>
          <w:b/>
          <w:bCs/>
        </w:rPr>
        <w:t xml:space="preserve">Circulation mode: </w:t>
      </w:r>
      <w:r>
        <w:t xml:space="preserve">Slice 13.</w:t>
      </w:r>
    </w:p>
    <w:p>
      <w:pPr>
        <w:pStyle w:val="ListParagraph"/>
        <w:numPr>
          <w:ilvl w:val="0"/>
          <w:numId w:val="2"/>
        </w:numPr>
        <w:spacing w:after="80"/>
      </w:pPr>
      <w:r>
        <w:rPr>
          <w:b/>
          <w:bCs/>
        </w:rPr>
        <w:t xml:space="preserve">Audit features and regulatory export: </w:t>
      </w:r>
      <w:r>
        <w:t xml:space="preserve">Slice 14.</w:t>
      </w:r>
    </w:p>
    <w:p>
      <w:pPr>
        <w:pStyle w:val="ListParagraph"/>
        <w:numPr>
          <w:ilvl w:val="0"/>
          <w:numId w:val="2"/>
        </w:numPr>
        <w:spacing w:after="80"/>
      </w:pPr>
      <w:r>
        <w:rPr>
          <w:b/>
          <w:bCs/>
        </w:rPr>
        <w:t xml:space="preserve">Source-system writes: </w:t>
      </w:r>
      <w:r>
        <w:t xml:space="preserve">permanently out of scope for this release.</w:t>
      </w:r>
    </w:p>
    <w:p>
      <w:pPr>
        <w:pStyle w:val="Heading1"/>
      </w:pPr>
      <w:r>
        <w:t xml:space="preserve">Git Workflow</w:t>
      </w:r>
    </w:p>
    <w:p>
      <w:pPr>
        <w:pStyle w:val="ListParagraph"/>
        <w:numPr>
          <w:ilvl w:val="0"/>
          <w:numId w:val="2"/>
        </w:numPr>
        <w:spacing w:after="80"/>
      </w:pPr>
      <w:r>
        <w:t xml:space="preserve">Branch: feature/asrb-slice-01-foundations</w:t>
      </w:r>
    </w:p>
    <w:p>
      <w:pPr>
        <w:pStyle w:val="ListParagraph"/>
        <w:numPr>
          <w:ilvl w:val="0"/>
          <w:numId w:val="2"/>
        </w:numPr>
        <w:spacing w:after="80"/>
      </w:pPr>
      <w:r>
        <w:t xml:space="preserve">Commit convention: conventional commits (feat:, fix:, chore:, docs:, test:)</w:t>
      </w:r>
    </w:p>
    <w:p>
      <w:pPr>
        <w:pStyle w:val="ListParagraph"/>
        <w:numPr>
          <w:ilvl w:val="0"/>
          <w:numId w:val="2"/>
        </w:numPr>
        <w:spacing w:after="80"/>
      </w:pPr>
      <w:r>
        <w:t xml:space="preserve">Single PR to main when acceptance criteria are met.</w:t>
      </w:r>
    </w:p>
    <w:p>
      <w:pPr>
        <w:pStyle w:val="ListParagraph"/>
        <w:numPr>
          <w:ilvl w:val="0"/>
          <w:numId w:val="2"/>
        </w:numPr>
        <w:spacing w:after="80"/>
      </w:pPr>
      <w:r>
        <w:t xml:space="preserve">PR description: summary, completed acceptance checklist, screen recording of seed plus login flow for new roles, links to ADR 0002.</w:t>
      </w:r>
    </w:p>
    <w:p>
      <w:pPr>
        <w:pStyle w:val="ListParagraph"/>
        <w:numPr>
          <w:ilvl w:val="0"/>
          <w:numId w:val="2"/>
        </w:numPr>
        <w:spacing w:after="80"/>
      </w:pPr>
      <w:r>
        <w:t xml:space="preserve">Keep atomic commits; do not squash.</w:t>
      </w:r>
    </w:p>
    <w:p>
      <w:pPr>
        <w:pStyle w:val="ListParagraph"/>
        <w:numPr>
          <w:ilvl w:val="0"/>
          <w:numId w:val="2"/>
        </w:numPr>
        <w:spacing w:after="80"/>
      </w:pPr>
      <w:r>
        <w:t xml:space="preserve">Do not merge; wait for human review.</w:t>
      </w:r>
    </w:p>
    <w:p>
      <w:pPr>
        <w:pStyle w:val="Heading1"/>
      </w:pPr>
      <w:r>
        <w:t xml:space="preserve">Working Instructions</w:t>
      </w:r>
    </w:p>
    <w:p>
      <w:pPr>
        <w:pStyle w:val="ListParagraph"/>
        <w:numPr>
          <w:ilvl w:val="0"/>
          <w:numId w:val="2"/>
        </w:numPr>
        <w:spacing w:after="80"/>
      </w:pPr>
      <w:r>
        <w:t xml:space="preserve">Work in small increments. Suggested order: (1) domain enums and transitions, (2) schema additions, (3) source-data interfaces and mock, (4) seed data, (5) role and permission extensions, (6) dashboard stubs, (7) tests, (8) docs. Commit after each.</w:t>
      </w:r>
    </w:p>
    <w:p>
      <w:pPr>
        <w:pStyle w:val="ListParagraph"/>
        <w:numPr>
          <w:ilvl w:val="0"/>
          <w:numId w:val="2"/>
        </w:numPr>
        <w:spacing w:after="80"/>
      </w:pPr>
      <w:r>
        <w:t xml:space="preserve">Run the full test suite after every increment. Do not let red tests linger.</w:t>
      </w:r>
    </w:p>
    <w:p>
      <w:pPr>
        <w:pStyle w:val="ListParagraph"/>
        <w:numPr>
          <w:ilvl w:val="0"/>
          <w:numId w:val="2"/>
        </w:numPr>
        <w:spacing w:after="80"/>
      </w:pPr>
      <w:r>
        <w:t xml:space="preserve">If a decision is ambiguous, prefer the specification, then the existing repo conventions. If still ambiguous, choose the simpler option and document the choice in ADR 0002 or the README.</w:t>
      </w:r>
    </w:p>
    <w:p>
      <w:pPr>
        <w:pStyle w:val="ListParagraph"/>
        <w:numPr>
          <w:ilvl w:val="0"/>
          <w:numId w:val="2"/>
        </w:numPr>
        <w:spacing w:after="80"/>
      </w:pPr>
      <w:r>
        <w:t xml:space="preserve">Do not add runtime dependencies without justification. For seed data generation, prefer using faker if already present in the repo; otherwise hand-write deterministic fixtures rather than adding a new dependency.</w:t>
      </w:r>
    </w:p>
    <w:p>
      <w:pPr>
        <w:pStyle w:val="ListParagraph"/>
        <w:numPr>
          <w:ilvl w:val="0"/>
          <w:numId w:val="2"/>
        </w:numPr>
        <w:spacing w:after="80"/>
      </w:pPr>
      <w:r>
        <w:t xml:space="preserve">Do not scaffold any ASRB feature code that belongs to later slices; placeholder directory README.md files are sufficient.</w:t>
      </w:r>
    </w:p>
    <w:p>
      <w:pPr>
        <w:pStyle w:val="ListParagraph"/>
        <w:numPr>
          <w:ilvl w:val="0"/>
          <w:numId w:val="2"/>
        </w:numPr>
        <w:spacing w:after="80"/>
      </w:pPr>
      <w:r>
        <w:t xml:space="preserve">Do not alter Board Governance entities, types, or permissions. If a Board Governance type needs widening, stop and report rather than changing it.</w:t>
      </w:r>
    </w:p>
    <w:p>
      <w:pPr>
        <w:pStyle w:val="ListParagraph"/>
        <w:numPr>
          <w:ilvl w:val="0"/>
          <w:numId w:val="2"/>
        </w:numPr>
        <w:spacing w:after="80"/>
      </w:pPr>
      <w:r>
        <w:t xml:space="preserve">When finished, run a final self-review against the Acceptance Criteria section and tick each item in the PR body.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A5F"/>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F3A5F"/>
      <w:sz w:val="24"/>
      <w:szCs w:val="24"/>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Cowork Build Brief - ASRB Slice 1</dc:title>
  <dc:creator>Sohail (DSS Consulting)</dc:creator>
  <cp:lastModifiedBy>Un-named</cp:lastModifiedBy>
  <cp:revision>1</cp:revision>
  <dcterms:created xsi:type="dcterms:W3CDTF">2026-04-19T09:59:18.844Z</dcterms:created>
  <dcterms:modified xsi:type="dcterms:W3CDTF">2026-04-19T09:59:18.845Z</dcterms:modified>
</cp:coreProperties>
</file>

<file path=docProps/custom.xml><?xml version="1.0" encoding="utf-8"?>
<Properties xmlns="http://schemas.openxmlformats.org/officeDocument/2006/custom-properties" xmlns:vt="http://schemas.openxmlformats.org/officeDocument/2006/docPropsVTypes"/>
</file>