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Cambria" w:cs="Cambria" w:eastAsia="Cambria" w:hAnsi="Cambria"/>
          <w:b/>
          <w:bCs/>
          <w:color w:val="1B4F72"/>
          <w:sz w:val="44"/>
          <w:szCs w:val="44"/>
        </w:rPr>
        <w:t xml:space="preserve">DEPTH-ROUTING SPECTROSCOPY</w:t>
      </w:r>
    </w:p>
    <w:p>
      <w:pPr>
        <w:spacing w:after="200"/>
        <w:jc w:val="center"/>
      </w:pPr>
      <w:r>
        <w:rPr>
          <w:rFonts w:ascii="Cambria" w:cs="Cambria" w:eastAsia="Cambria" w:hAnsi="Cambria"/>
          <w:color w:val="5D6D7E"/>
          <w:sz w:val="26"/>
          <w:szCs w:val="26"/>
        </w:rPr>
        <w:t xml:space="preserve">Probing Transformer Depth-Wise Information Flow
Through the Lens of Attention Residuals</w:t>
      </w:r>
    </w:p>
    <w:p>
      <w:pPr>
        <w:spacing w:after="120"/>
        <w:jc w:val="center"/>
      </w:pPr>
      <w:r>
        <w:rPr>
          <w:rFonts w:ascii="Cambria" w:cs="Cambria" w:eastAsia="Cambria" w:hAnsi="Cambria"/>
          <w:i/>
          <w:iCs/>
          <w:color w:val="5D6D7E"/>
          <w:sz w:val="22"/>
          <w:szCs w:val="22"/>
        </w:rPr>
        <w:t xml:space="preserve">Master Research Document</w:t>
      </w:r>
    </w:p>
    <w:p>
      <w:pPr>
        <w:spacing w:after="120"/>
        <w:jc w:val="center"/>
      </w:pPr>
      <w:r>
        <w:rPr>
          <w:rFonts w:ascii="Cambria" w:cs="Cambria" w:eastAsia="Cambria" w:hAnsi="Cambria"/>
          <w:b/>
          <w:bCs/>
          <w:sz w:val="24"/>
          <w:szCs w:val="24"/>
        </w:rPr>
        <w:t xml:space="preserve">Sohail Mohammad</w:t>
      </w:r>
    </w:p>
    <w:p>
      <w:pPr>
        <w:spacing w:after="600"/>
        <w:jc w:val="center"/>
      </w:pPr>
      <w:r>
        <w:rPr>
          <w:rFonts w:ascii="Cambria" w:cs="Cambria" w:eastAsia="Cambria" w:hAnsi="Cambria"/>
          <w:color w:val="5D6D7E"/>
          <w:sz w:val="20"/>
          <w:szCs w:val="20"/>
        </w:rPr>
        <w:t xml:space="preserve">March 2026 | Version 1.0</w:t>
      </w:r>
    </w:p>
    <w:p>
      <w:pPr>
        <w:pBdr>
          <w:top w:val="single" w:color="1B4F72" w:sz="2"/>
        </w:pBdr>
        <w:spacing w:after="200"/>
        <w:jc w:val="center"/>
      </w:pPr>
    </w:p>
    <w:p>
      <w:pPr>
        <w:spacing w:after="120" w:line="300"/>
      </w:pPr>
      <w:r>
        <w:rPr>
          <w:rFonts w:ascii="Cambria" w:cs="Cambria" w:eastAsia="Cambria" w:hAnsi="Cambria"/>
          <w:i/>
          <w:iCs/>
          <w:color w:val="5D6D7E"/>
          <w:sz w:val="22"/>
          <w:szCs w:val="22"/>
        </w:rPr>
        <w:t xml:space="preserve">This document consolidates the complete research plan for investigating depth-wise routing structure in transformer models, motivated by the Attention Residuals paper (Kimi Team, March 2026) and its predecessor DeepCrossAttention (Heddes et al., ICML 2025). It includes the theoretical foundations, interpretability implications, experimental methodology, critical decision points, hardware constraints, gap analysis, and publication strategy.</w:t>
      </w:r>
    </w:p>
    <w:p>
      <w:r>
        <w:br w:type="page"/>
      </w:r>
    </w:p>
    <w:p>
      <w:pPr>
        <w:pStyle w:val="Heading1"/>
        <w:spacing w:before="360" w:after="200"/>
      </w:pPr>
      <w:r>
        <w:rPr>
          <w:rFonts w:ascii="Cambria" w:cs="Cambria" w:eastAsia="Cambria" w:hAnsi="Cambria"/>
          <w:b/>
          <w:bCs/>
          <w:color w:val="1B4F72"/>
          <w:sz w:val="32"/>
          <w:szCs w:val="32"/>
        </w:rPr>
        <w:t xml:space="preserve">Table of Contents</w:t>
      </w:r>
    </w:p>
    <w:p>
      <w:pPr>
        <w:spacing w:after="120" w:line="300"/>
      </w:pPr>
      <w:r>
        <w:rPr>
          <w:rFonts w:ascii="Cambria" w:cs="Cambria" w:eastAsia="Cambria" w:hAnsi="Cambria"/>
          <w:sz w:val="22"/>
          <w:szCs w:val="22"/>
        </w:rPr>
        <w:t xml:space="preserve">Part I: Theoretical Foundations</w:t>
      </w:r>
    </w:p>
    <w:p>
      <w:pPr>
        <w:pStyle w:val="ListParagraph"/>
        <w:numPr>
          <w:ilvl w:val="0"/>
          <w:numId w:val="2"/>
        </w:numPr>
        <w:spacing w:after="80" w:line="280"/>
      </w:pPr>
      <w:r>
        <w:rPr>
          <w:rFonts w:ascii="Cambria" w:cs="Cambria" w:eastAsia="Cambria" w:hAnsi="Cambria"/>
          <w:sz w:val="22"/>
          <w:szCs w:val="22"/>
        </w:rPr>
        <w:t xml:space="preserve">1. The Residual Stream and Its Limitations</w:t>
      </w:r>
    </w:p>
    <w:p>
      <w:pPr>
        <w:pStyle w:val="ListParagraph"/>
        <w:numPr>
          <w:ilvl w:val="0"/>
          <w:numId w:val="2"/>
        </w:numPr>
        <w:spacing w:after="80" w:line="280"/>
      </w:pPr>
      <w:r>
        <w:rPr>
          <w:rFonts w:ascii="Cambria" w:cs="Cambria" w:eastAsia="Cambria" w:hAnsi="Cambria"/>
          <w:sz w:val="22"/>
          <w:szCs w:val="22"/>
        </w:rPr>
        <w:t xml:space="preserve">2. The Time-Depth Duality</w:t>
      </w:r>
    </w:p>
    <w:p>
      <w:pPr>
        <w:pStyle w:val="ListParagraph"/>
        <w:numPr>
          <w:ilvl w:val="0"/>
          <w:numId w:val="2"/>
        </w:numPr>
        <w:spacing w:after="80" w:line="280"/>
      </w:pPr>
      <w:r>
        <w:rPr>
          <w:rFonts w:ascii="Cambria" w:cs="Cambria" w:eastAsia="Cambria" w:hAnsi="Cambria"/>
          <w:sz w:val="22"/>
          <w:szCs w:val="22"/>
        </w:rPr>
        <w:t xml:space="preserve">3. Attention Residuals: Complete Mathematical Treatment</w:t>
      </w:r>
    </w:p>
    <w:p>
      <w:pPr>
        <w:pStyle w:val="ListParagraph"/>
        <w:numPr>
          <w:ilvl w:val="0"/>
          <w:numId w:val="2"/>
        </w:numPr>
        <w:spacing w:after="80" w:line="280"/>
      </w:pPr>
      <w:r>
        <w:rPr>
          <w:rFonts w:ascii="Cambria" w:cs="Cambria" w:eastAsia="Cambria" w:hAnsi="Cambria"/>
          <w:sz w:val="22"/>
          <w:szCs w:val="22"/>
        </w:rPr>
        <w:t xml:space="preserve">4. Block AttnRes and Infrastructure</w:t>
      </w:r>
    </w:p>
    <w:p>
      <w:pPr>
        <w:pStyle w:val="ListParagraph"/>
        <w:numPr>
          <w:ilvl w:val="0"/>
          <w:numId w:val="2"/>
        </w:numPr>
        <w:spacing w:after="80" w:line="280"/>
      </w:pPr>
      <w:r>
        <w:rPr>
          <w:rFonts w:ascii="Cambria" w:cs="Cambria" w:eastAsia="Cambria" w:hAnsi="Cambria"/>
          <w:sz w:val="22"/>
          <w:szCs w:val="22"/>
        </w:rPr>
        <w:t xml:space="preserve">5. Prior Work Landscape: DCA, Hyper-Connections, mHC, DenseFormer, MUDDFormer</w:t>
      </w:r>
    </w:p>
    <w:p>
      <w:pPr>
        <w:spacing w:after="120" w:line="300"/>
      </w:pPr>
      <w:r>
        <w:rPr>
          <w:rFonts w:ascii="Cambria" w:cs="Cambria" w:eastAsia="Cambria" w:hAnsi="Cambria"/>
          <w:sz w:val="22"/>
          <w:szCs w:val="22"/>
        </w:rPr>
        <w:t xml:space="preserve">Part II: Interpretability Implications</w:t>
      </w:r>
    </w:p>
    <w:p>
      <w:pPr>
        <w:pStyle w:val="ListParagraph"/>
        <w:numPr>
          <w:ilvl w:val="0"/>
          <w:numId w:val="2"/>
        </w:numPr>
        <w:spacing w:after="80" w:line="280"/>
      </w:pPr>
      <w:r>
        <w:rPr>
          <w:rFonts w:ascii="Cambria" w:cs="Cambria" w:eastAsia="Cambria" w:hAnsi="Cambria"/>
          <w:sz w:val="22"/>
          <w:szCs w:val="22"/>
        </w:rPr>
        <w:t xml:space="preserve">6. What Changes for Mechanistic Interpretability</w:t>
      </w:r>
    </w:p>
    <w:p>
      <w:pPr>
        <w:pStyle w:val="ListParagraph"/>
        <w:numPr>
          <w:ilvl w:val="0"/>
          <w:numId w:val="2"/>
        </w:numPr>
        <w:spacing w:after="80" w:line="280"/>
      </w:pPr>
      <w:r>
        <w:rPr>
          <w:rFonts w:ascii="Cambria" w:cs="Cambria" w:eastAsia="Cambria" w:hAnsi="Cambria"/>
          <w:sz w:val="22"/>
          <w:szCs w:val="22"/>
        </w:rPr>
        <w:t xml:space="preserve">7. Tool-by-Tool Impact Analysis</w:t>
      </w:r>
    </w:p>
    <w:p>
      <w:pPr>
        <w:pStyle w:val="ListParagraph"/>
        <w:numPr>
          <w:ilvl w:val="0"/>
          <w:numId w:val="2"/>
        </w:numPr>
        <w:spacing w:after="80" w:line="280"/>
      </w:pPr>
      <w:r>
        <w:rPr>
          <w:rFonts w:ascii="Cambria" w:cs="Cambria" w:eastAsia="Cambria" w:hAnsi="Cambria"/>
          <w:sz w:val="22"/>
          <w:szCs w:val="22"/>
        </w:rPr>
        <w:t xml:space="preserve">8. The New Interpretability Surface</w:t>
      </w:r>
    </w:p>
    <w:p>
      <w:pPr>
        <w:spacing w:after="120" w:line="300"/>
      </w:pPr>
      <w:r>
        <w:rPr>
          <w:rFonts w:ascii="Cambria" w:cs="Cambria" w:eastAsia="Cambria" w:hAnsi="Cambria"/>
          <w:sz w:val="22"/>
          <w:szCs w:val="22"/>
        </w:rPr>
        <w:t xml:space="preserve">Part III: Experimental Plan</w:t>
      </w:r>
    </w:p>
    <w:p>
      <w:pPr>
        <w:pStyle w:val="ListParagraph"/>
        <w:numPr>
          <w:ilvl w:val="0"/>
          <w:numId w:val="2"/>
        </w:numPr>
        <w:spacing w:after="80" w:line="280"/>
      </w:pPr>
      <w:r>
        <w:rPr>
          <w:rFonts w:ascii="Cambria" w:cs="Cambria" w:eastAsia="Cambria" w:hAnsi="Cambria"/>
          <w:sz w:val="22"/>
          <w:szCs w:val="22"/>
        </w:rPr>
        <w:t xml:space="preserve">9. Hypothesis and Null Models</w:t>
      </w:r>
    </w:p>
    <w:p>
      <w:pPr>
        <w:pStyle w:val="ListParagraph"/>
        <w:numPr>
          <w:ilvl w:val="0"/>
          <w:numId w:val="2"/>
        </w:numPr>
        <w:spacing w:after="80" w:line="280"/>
      </w:pPr>
      <w:r>
        <w:rPr>
          <w:rFonts w:ascii="Cambria" w:cs="Cambria" w:eastAsia="Cambria" w:hAnsi="Cambria"/>
          <w:sz w:val="22"/>
          <w:szCs w:val="22"/>
        </w:rPr>
        <w:t xml:space="preserve">10. Oracle-α Methodology</w:t>
      </w:r>
    </w:p>
    <w:p>
      <w:pPr>
        <w:pStyle w:val="ListParagraph"/>
        <w:numPr>
          <w:ilvl w:val="0"/>
          <w:numId w:val="2"/>
        </w:numPr>
        <w:spacing w:after="80" w:line="280"/>
      </w:pPr>
      <w:r>
        <w:rPr>
          <w:rFonts w:ascii="Cambria" w:cs="Cambria" w:eastAsia="Cambria" w:hAnsi="Cambria"/>
          <w:sz w:val="22"/>
          <w:szCs w:val="22"/>
        </w:rPr>
        <w:t xml:space="preserve">11. Pattern Analysis and SAE Integration</w:t>
      </w:r>
    </w:p>
    <w:p>
      <w:pPr>
        <w:pStyle w:val="ListParagraph"/>
        <w:numPr>
          <w:ilvl w:val="0"/>
          <w:numId w:val="2"/>
        </w:numPr>
        <w:spacing w:after="80" w:line="280"/>
      </w:pPr>
      <w:r>
        <w:rPr>
          <w:rFonts w:ascii="Cambria" w:cs="Cambria" w:eastAsia="Cambria" w:hAnsi="Cambria"/>
          <w:sz w:val="22"/>
          <w:szCs w:val="22"/>
        </w:rPr>
        <w:t xml:space="preserve">12. Figure 8 Predictions: Quantitative Tests</w:t>
      </w:r>
    </w:p>
    <w:p>
      <w:pPr>
        <w:pStyle w:val="ListParagraph"/>
        <w:numPr>
          <w:ilvl w:val="0"/>
          <w:numId w:val="2"/>
        </w:numPr>
        <w:spacing w:after="80" w:line="280"/>
      </w:pPr>
      <w:r>
        <w:rPr>
          <w:rFonts w:ascii="Cambria" w:cs="Cambria" w:eastAsia="Cambria" w:hAnsi="Cambria"/>
          <w:sz w:val="22"/>
          <w:szCs w:val="22"/>
        </w:rPr>
        <w:t xml:space="preserve">13. Comparison Regimes: Softmax vs. Unconstrained vs. Top-k</w:t>
      </w:r>
    </w:p>
    <w:p>
      <w:pPr>
        <w:pStyle w:val="ListParagraph"/>
        <w:numPr>
          <w:ilvl w:val="0"/>
          <w:numId w:val="2"/>
        </w:numPr>
        <w:spacing w:after="80" w:line="280"/>
      </w:pPr>
      <w:r>
        <w:rPr>
          <w:rFonts w:ascii="Cambria" w:cs="Cambria" w:eastAsia="Cambria" w:hAnsi="Cambria"/>
          <w:sz w:val="22"/>
          <w:szCs w:val="22"/>
        </w:rPr>
        <w:t xml:space="preserve">14. Tool Breakage Demonstration</w:t>
      </w:r>
    </w:p>
    <w:p>
      <w:pPr>
        <w:pStyle w:val="ListParagraph"/>
        <w:numPr>
          <w:ilvl w:val="0"/>
          <w:numId w:val="2"/>
        </w:numPr>
        <w:spacing w:after="80" w:line="280"/>
      </w:pPr>
      <w:r>
        <w:rPr>
          <w:rFonts w:ascii="Cambria" w:cs="Cambria" w:eastAsia="Cambria" w:hAnsi="Cambria"/>
          <w:sz w:val="22"/>
          <w:szCs w:val="22"/>
        </w:rPr>
        <w:t xml:space="preserve">15. Router Training Strategy</w:t>
      </w:r>
    </w:p>
    <w:p>
      <w:pPr>
        <w:spacing w:after="120" w:line="300"/>
      </w:pPr>
      <w:r>
        <w:rPr>
          <w:rFonts w:ascii="Cambria" w:cs="Cambria" w:eastAsia="Cambria" w:hAnsi="Cambria"/>
          <w:sz w:val="22"/>
          <w:szCs w:val="22"/>
        </w:rPr>
        <w:t xml:space="preserve">Part IV: Execution</w:t>
      </w:r>
    </w:p>
    <w:p>
      <w:pPr>
        <w:pStyle w:val="ListParagraph"/>
        <w:numPr>
          <w:ilvl w:val="0"/>
          <w:numId w:val="2"/>
        </w:numPr>
        <w:spacing w:after="80" w:line="280"/>
      </w:pPr>
      <w:r>
        <w:rPr>
          <w:rFonts w:ascii="Cambria" w:cs="Cambria" w:eastAsia="Cambria" w:hAnsi="Cambria"/>
          <w:sz w:val="22"/>
          <w:szCs w:val="22"/>
        </w:rPr>
        <w:t xml:space="preserve">16. Hardware and Tooling Assessment</w:t>
      </w:r>
    </w:p>
    <w:p>
      <w:pPr>
        <w:pStyle w:val="ListParagraph"/>
        <w:numPr>
          <w:ilvl w:val="0"/>
          <w:numId w:val="2"/>
        </w:numPr>
        <w:spacing w:after="80" w:line="280"/>
      </w:pPr>
      <w:r>
        <w:rPr>
          <w:rFonts w:ascii="Cambria" w:cs="Cambria" w:eastAsia="Cambria" w:hAnsi="Cambria"/>
          <w:sz w:val="22"/>
          <w:szCs w:val="22"/>
        </w:rPr>
        <w:t xml:space="preserve">17. Model Selection and Memory Analysis</w:t>
      </w:r>
    </w:p>
    <w:p>
      <w:pPr>
        <w:pStyle w:val="ListParagraph"/>
        <w:numPr>
          <w:ilvl w:val="0"/>
          <w:numId w:val="2"/>
        </w:numPr>
        <w:spacing w:after="80" w:line="280"/>
      </w:pPr>
      <w:r>
        <w:rPr>
          <w:rFonts w:ascii="Cambria" w:cs="Cambria" w:eastAsia="Cambria" w:hAnsi="Cambria"/>
          <w:sz w:val="22"/>
          <w:szCs w:val="22"/>
        </w:rPr>
        <w:t xml:space="preserve">18. Critical Decision Matrix</w:t>
      </w:r>
    </w:p>
    <w:p>
      <w:pPr>
        <w:pStyle w:val="ListParagraph"/>
        <w:numPr>
          <w:ilvl w:val="0"/>
          <w:numId w:val="2"/>
        </w:numPr>
        <w:spacing w:after="80" w:line="280"/>
      </w:pPr>
      <w:r>
        <w:rPr>
          <w:rFonts w:ascii="Cambria" w:cs="Cambria" w:eastAsia="Cambria" w:hAnsi="Cambria"/>
          <w:sz w:val="22"/>
          <w:szCs w:val="22"/>
        </w:rPr>
        <w:t xml:space="preserve">19. Gap Analysis and Remediation</w:t>
      </w:r>
    </w:p>
    <w:p>
      <w:pPr>
        <w:pStyle w:val="ListParagraph"/>
        <w:numPr>
          <w:ilvl w:val="0"/>
          <w:numId w:val="2"/>
        </w:numPr>
        <w:spacing w:after="80" w:line="280"/>
      </w:pPr>
      <w:r>
        <w:rPr>
          <w:rFonts w:ascii="Cambria" w:cs="Cambria" w:eastAsia="Cambria" w:hAnsi="Cambria"/>
          <w:sz w:val="22"/>
          <w:szCs w:val="22"/>
        </w:rPr>
        <w:t xml:space="preserve">20. Week-by-Week Timeline with Gates</w:t>
      </w:r>
    </w:p>
    <w:p>
      <w:pPr>
        <w:pStyle w:val="ListParagraph"/>
        <w:numPr>
          <w:ilvl w:val="0"/>
          <w:numId w:val="2"/>
        </w:numPr>
        <w:spacing w:after="80" w:line="280"/>
      </w:pPr>
      <w:r>
        <w:rPr>
          <w:rFonts w:ascii="Cambria" w:cs="Cambria" w:eastAsia="Cambria" w:hAnsi="Cambria"/>
          <w:sz w:val="22"/>
          <w:szCs w:val="22"/>
        </w:rPr>
        <w:t xml:space="preserve">21. Publication Strategy</w:t>
      </w:r>
    </w:p>
    <w:p>
      <w:r>
        <w:br w:type="page"/>
      </w:r>
    </w:p>
    <w:p>
      <w:pPr>
        <w:spacing w:before="200" w:after="300"/>
        <w:jc w:val="center"/>
      </w:pPr>
      <w:r>
        <w:rPr>
          <w:rFonts w:ascii="Cambria" w:cs="Cambria" w:eastAsia="Cambria" w:hAnsi="Cambria"/>
          <w:b/>
          <w:bCs/>
          <w:color w:val="1B4F72"/>
          <w:sz w:val="28"/>
          <w:szCs w:val="28"/>
        </w:rPr>
        <w:t xml:space="preserve">PART I: THEORETICAL FOUNDATIONS</w:t>
      </w:r>
    </w:p>
    <w:p>
      <w:pPr>
        <w:pStyle w:val="Heading1"/>
        <w:spacing w:before="360" w:after="200"/>
      </w:pPr>
      <w:r>
        <w:rPr>
          <w:rFonts w:ascii="Cambria" w:cs="Cambria" w:eastAsia="Cambria" w:hAnsi="Cambria"/>
          <w:b/>
          <w:bCs/>
          <w:color w:val="1B4F72"/>
          <w:sz w:val="32"/>
          <w:szCs w:val="32"/>
        </w:rPr>
        <w:t xml:space="preserve">1. The Residual Stream and Its Limitations</w:t>
      </w:r>
    </w:p>
    <w:p>
      <w:pPr>
        <w:spacing w:after="120" w:line="300"/>
      </w:pPr>
      <w:r>
        <w:rPr>
          <w:rFonts w:ascii="Cambria" w:cs="Cambria" w:eastAsia="Cambria" w:hAnsi="Cambria"/>
          <w:sz w:val="22"/>
          <w:szCs w:val="22"/>
        </w:rPr>
        <w:t xml:space="preserve">Standard residual connections (He et al., 2015) update the hidden state as:</w:t>
      </w:r>
    </w:p>
    <w:p>
      <w:pPr>
        <w:spacing w:before="160" w:after="160"/>
        <w:jc w:val="center"/>
      </w:pPr>
      <w:r>
        <w:rPr>
          <w:rFonts w:ascii="Consolas" w:cs="Consolas" w:eastAsia="Consolas" w:hAnsi="Consolas"/>
          <w:color w:val="1B4F72"/>
          <w:sz w:val="22"/>
          <w:szCs w:val="22"/>
        </w:rPr>
        <w:t xml:space="preserve">h_l = h_(l-1) + f_(l-1)(h_(l-1))</w:t>
      </w:r>
    </w:p>
    <w:p>
      <w:pPr>
        <w:spacing w:after="120" w:line="300"/>
      </w:pPr>
      <w:r>
        <w:rPr>
          <w:rFonts w:ascii="Cambria" w:cs="Cambria" w:eastAsia="Cambria" w:hAnsi="Cambria"/>
          <w:sz w:val="22"/>
          <w:szCs w:val="22"/>
        </w:rPr>
        <w:t xml:space="preserve">Unrolling the recurrence, the hidden state at layer l is the sum of the embedding and all preceding layer outputs:</w:t>
      </w:r>
    </w:p>
    <w:p>
      <w:pPr>
        <w:spacing w:before="160" w:after="160"/>
        <w:jc w:val="center"/>
      </w:pPr>
      <w:r>
        <w:rPr>
          <w:rFonts w:ascii="Consolas" w:cs="Consolas" w:eastAsia="Consolas" w:hAnsi="Consolas"/>
          <w:color w:val="1B4F72"/>
          <w:sz w:val="22"/>
          <w:szCs w:val="22"/>
        </w:rPr>
        <w:t xml:space="preserve">h_L = h_1 + Σ_{i=1}^{L-1} f_i(h_i)</w:t>
      </w:r>
    </w:p>
    <w:p>
      <w:pPr>
        <w:spacing w:after="120" w:line="300"/>
      </w:pPr>
      <w:r>
        <w:rPr>
          <w:rFonts w:ascii="Cambria" w:cs="Cambria" w:eastAsia="Cambria" w:hAnsi="Cambria"/>
          <w:sz w:val="22"/>
          <w:szCs w:val="22"/>
        </w:rPr>
        <w:t xml:space="preserve">Every layer contributes with fixed weight = 1. This creates a gradient highway (the derivative of addition is identity), enabling stable training at depth. However, it also means depth-wise aggregation is completely fixed, with no mechanism to selectively emphasize or suppress individual layer contributions.</w:t>
      </w:r>
    </w:p>
    <w:p>
      <w:pPr>
        <w:pStyle w:val="Heading3"/>
        <w:spacing w:before="240" w:after="120"/>
      </w:pPr>
      <w:r>
        <w:rPr>
          <w:rFonts w:ascii="Cambria" w:cs="Cambria" w:eastAsia="Cambria" w:hAnsi="Cambria"/>
          <w:b/>
          <w:bCs/>
          <w:color w:val="117A65"/>
          <w:sz w:val="22"/>
          <w:szCs w:val="22"/>
        </w:rPr>
        <w:t xml:space="preserve">The Dilution Problem</w:t>
      </w:r>
    </w:p>
    <w:p>
      <w:pPr>
        <w:spacing w:after="120" w:line="300"/>
      </w:pPr>
      <w:r>
        <w:rPr>
          <w:rFonts w:ascii="Cambria" w:cs="Cambria" w:eastAsia="Cambria" w:hAnsi="Cambria"/>
          <w:sz w:val="22"/>
          <w:szCs w:val="22"/>
        </w:rPr>
        <w:t xml:space="preserve">With PreNorm (the dominant paradigm since GPT-2), hidden-state magnitudes grow as O(L) with depth. This causes three cascading failures:</w:t>
      </w:r>
    </w:p>
    <w:p>
      <w:pPr>
        <w:pStyle w:val="ListParagraph"/>
        <w:numPr>
          <w:ilvl w:val="0"/>
          <w:numId w:val="2"/>
        </w:numPr>
        <w:spacing w:after="80" w:line="280"/>
      </w:pPr>
      <w:r>
        <w:rPr>
          <w:rFonts w:ascii="Cambria" w:cs="Cambria" w:eastAsia="Cambria" w:hAnsi="Cambria"/>
          <w:b/>
          <w:bCs/>
          <w:sz w:val="22"/>
          <w:szCs w:val="22"/>
        </w:rPr>
        <w:t xml:space="preserve">No selective access: </w:t>
      </w:r>
      <w:r>
        <w:rPr>
          <w:rFonts w:ascii="Cambria" w:cs="Cambria" w:eastAsia="Cambria" w:hAnsi="Cambria"/>
          <w:sz w:val="22"/>
          <w:szCs w:val="22"/>
        </w:rPr>
        <w:t xml:space="preserve">Different layer types (attention vs. MLP) receive the same aggregated state, despite potentially benefiting from different weightings of prior layers.</w:t>
      </w:r>
    </w:p>
    <w:p>
      <w:pPr>
        <w:pStyle w:val="ListParagraph"/>
        <w:numPr>
          <w:ilvl w:val="0"/>
          <w:numId w:val="2"/>
        </w:numPr>
        <w:spacing w:after="80" w:line="280"/>
      </w:pPr>
      <w:r>
        <w:rPr>
          <w:rFonts w:ascii="Cambria" w:cs="Cambria" w:eastAsia="Cambria" w:hAnsi="Cambria"/>
          <w:b/>
          <w:bCs/>
          <w:sz w:val="22"/>
          <w:szCs w:val="22"/>
        </w:rPr>
        <w:t xml:space="preserve">Irreversible loss: </w:t>
      </w:r>
      <w:r>
        <w:rPr>
          <w:rFonts w:ascii="Cambria" w:cs="Cambria" w:eastAsia="Cambria" w:hAnsi="Cambria"/>
          <w:sz w:val="22"/>
          <w:szCs w:val="22"/>
        </w:rPr>
        <w:t xml:space="preserve">Information lost through dilution cannot be selectively recovered in deeper layers. Early-layer features get progressively buried.</w:t>
      </w:r>
    </w:p>
    <w:p>
      <w:pPr>
        <w:pStyle w:val="ListParagraph"/>
        <w:numPr>
          <w:ilvl w:val="0"/>
          <w:numId w:val="2"/>
        </w:numPr>
        <w:spacing w:after="80" w:line="280"/>
      </w:pPr>
      <w:r>
        <w:rPr>
          <w:rFonts w:ascii="Cambria" w:cs="Cambria" w:eastAsia="Cambria" w:hAnsi="Cambria"/>
          <w:b/>
          <w:bCs/>
          <w:sz w:val="22"/>
          <w:szCs w:val="22"/>
        </w:rPr>
        <w:t xml:space="preserve">Output growth: </w:t>
      </w:r>
      <w:r>
        <w:rPr>
          <w:rFonts w:ascii="Cambria" w:cs="Cambria" w:eastAsia="Cambria" w:hAnsi="Cambria"/>
          <w:sz w:val="22"/>
          <w:szCs w:val="22"/>
        </w:rPr>
        <w:t xml:space="preserve">Later layers must learn increasingly large outputs to influence the accumulated residual, destabilizing training dynamics.</w:t>
      </w:r>
    </w:p>
    <w:p>
      <w:pPr>
        <w:pBdr>
          <w:left w:val="single" w:color="1B4F72" w:sz="8" w:space="8"/>
        </w:pBdr>
        <w:shd w:fill="EBF5FB" w:val="clear"/>
        <w:spacing w:before="160" w:after="40"/>
        <w:ind w:left="200" w:right="200"/>
      </w:pPr>
      <w:r>
        <w:rPr>
          <w:rFonts w:ascii="Cambria" w:cs="Cambria" w:eastAsia="Cambria" w:hAnsi="Cambria"/>
          <w:b/>
          <w:bCs/>
          <w:color w:val="1B4F72"/>
          <w:sz w:val="20"/>
          <w:szCs w:val="20"/>
        </w:rPr>
        <w:t xml:space="preserve">EMPIRICAL EVIDENCE</w:t>
      </w:r>
    </w:p>
    <w:p>
      <w:pPr>
        <w:pBdr>
          <w:left w:val="single" w:color="1B4F72" w:sz="8" w:space="8"/>
        </w:pBdr>
        <w:shd w:fill="EBF5FB" w:val="clear"/>
        <w:spacing w:after="160"/>
        <w:ind w:left="200" w:right="200"/>
      </w:pPr>
      <w:r>
        <w:rPr>
          <w:rFonts w:ascii="Cambria" w:cs="Cambria" w:eastAsia="Cambria" w:hAnsi="Cambria"/>
          <w:color w:val="2C3E50"/>
          <w:sz w:val="20"/>
          <w:szCs w:val="20"/>
        </w:rPr>
        <w:t xml:space="preserve">The Curse of Depth (Sun et al., NeurIPS 2025) demonstrated that nearly half of layers in deep Pre-LN transformers contribute almost nothing to the output. The variance of layer outputs shrinks exponentially toward zero in deep layers. ShortGPT (Men et al., ACL Findings 2025) showed significant fractions of layers can be pruned with minimal loss. Both findings suggest standard residuals waste model capacity.</w:t>
      </w:r>
    </w:p>
    <w:p>
      <w:pPr>
        <w:pStyle w:val="Heading1"/>
        <w:spacing w:before="360" w:after="200"/>
      </w:pPr>
      <w:r>
        <w:rPr>
          <w:rFonts w:ascii="Cambria" w:cs="Cambria" w:eastAsia="Cambria" w:hAnsi="Cambria"/>
          <w:b/>
          <w:bCs/>
          <w:color w:val="1B4F72"/>
          <w:sz w:val="32"/>
          <w:szCs w:val="32"/>
        </w:rPr>
        <w:t xml:space="preserve">2. The Time-Depth Duality</w:t>
      </w:r>
    </w:p>
    <w:p>
      <w:pPr>
        <w:spacing w:after="120" w:line="300"/>
      </w:pPr>
      <w:r>
        <w:rPr>
          <w:rFonts w:ascii="Cambria" w:cs="Cambria" w:eastAsia="Cambria" w:hAnsi="Cambria"/>
          <w:sz w:val="22"/>
          <w:szCs w:val="22"/>
        </w:rPr>
        <w:t xml:space="preserve">The paper's core conceptual insight: residual connections over depth have the exact same structure as RNNs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Dimension</w:t>
            </w:r>
          </w:p>
        </w:tc>
        <w:tc>
          <w:tcPr>
            <w:tcW w:type="dxa" w:w="4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Formulation</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Bottleneck</w:t>
            </w:r>
          </w:p>
        </w:tc>
      </w:tr>
      <w:tr>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RNN over time</w:t>
            </w:r>
          </w:p>
        </w:tc>
        <w:tc>
          <w:tcPr>
            <w:tcW w:type="dxa" w:w="4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s_t = s_(t-1) + f(x_t, s_(t-1))</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All past tokens compressed into one state</w:t>
            </w:r>
          </w:p>
        </w:tc>
      </w:tr>
      <w:tr>
        <w:tc>
          <w:tcPr>
            <w:tcW w:type="dxa" w:w="20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Residual over depth</w:t>
            </w:r>
          </w:p>
        </w:tc>
        <w:tc>
          <w:tcPr>
            <w:tcW w:type="dxa" w:w="40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h_l = h_(l-1) + f_l(h_(l-1))</w:t>
            </w:r>
          </w:p>
        </w:tc>
        <w:tc>
          <w:tcPr>
            <w:tcW w:type="dxa" w:w="33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All past layers compressed into one state</w:t>
            </w:r>
          </w:p>
        </w:tc>
      </w:tr>
    </w:tbl>
    <w:p>
      <w:pPr>
        <w:spacing w:after="120" w:line="300"/>
      </w:pPr>
      <w:r>
        <w:rPr>
          <w:rFonts w:ascii="Cambria" w:cs="Cambria" w:eastAsia="Cambria" w:hAnsi="Cambria"/>
          <w:sz w:val="22"/>
          <w:szCs w:val="22"/>
        </w:rPr>
        <w:t xml:space="preserve"/>
      </w:r>
    </w:p>
    <w:p>
      <w:pPr>
        <w:spacing w:after="120" w:line="300"/>
      </w:pPr>
      <w:r>
        <w:rPr>
          <w:rFonts w:ascii="Cambria" w:cs="Cambria" w:eastAsia="Cambria" w:hAnsi="Cambria"/>
          <w:sz w:val="22"/>
          <w:szCs w:val="22"/>
        </w:rPr>
        <w:t xml:space="preserve">For sequences, Transformers solved the RNN bottleneck by replacing recurrence with attention: each position selectively accesses all previous positions with learned, input-dependent weights. The AttnRes proposal: do the same for depth.</w:t>
      </w:r>
    </w:p>
    <w:p>
      <w:pPr>
        <w:pBdr>
          <w:left w:val="single" w:color="117A65" w:sz="8" w:space="8"/>
        </w:pBdr>
        <w:shd w:fill="E8F8F5" w:val="clear"/>
        <w:spacing w:before="160" w:after="40"/>
        <w:ind w:left="200" w:right="200"/>
      </w:pPr>
      <w:r>
        <w:rPr>
          <w:rFonts w:ascii="Cambria" w:cs="Cambria" w:eastAsia="Cambria" w:hAnsi="Cambria"/>
          <w:b/>
          <w:bCs/>
          <w:color w:val="117A65"/>
          <w:sz w:val="20"/>
          <w:szCs w:val="20"/>
        </w:rPr>
        <w:t xml:space="preserve">KEY INSIGHT</w:t>
      </w:r>
    </w:p>
    <w:p>
      <w:pPr>
        <w:pBdr>
          <w:left w:val="single" w:color="117A65" w:sz="8" w:space="8"/>
        </w:pBdr>
        <w:shd w:fill="E8F8F5" w:val="clear"/>
        <w:spacing w:after="160"/>
        <w:ind w:left="200" w:right="200"/>
      </w:pPr>
      <w:r>
        <w:rPr>
          <w:rFonts w:ascii="Cambria" w:cs="Cambria" w:eastAsia="Cambria" w:hAnsi="Cambria"/>
          <w:color w:val="2C3E50"/>
          <w:sz w:val="20"/>
          <w:szCs w:val="20"/>
        </w:rPr>
        <w:t xml:space="preserve">Network depth is typically modest (L &lt; 1000), making O(L²) attention over depth computationally feasible without any of the approximations that sequence attention requires (linear attention, sliding windows, etc.). The math is the same; the dimension is different; the cost is negligible.</w:t>
      </w:r>
    </w:p>
    <w:p>
      <w:pPr>
        <w:pStyle w:val="Heading1"/>
        <w:spacing w:before="360" w:after="200"/>
      </w:pPr>
      <w:r>
        <w:rPr>
          <w:rFonts w:ascii="Cambria" w:cs="Cambria" w:eastAsia="Cambria" w:hAnsi="Cambria"/>
          <w:b/>
          <w:bCs/>
          <w:color w:val="1B4F72"/>
          <w:sz w:val="32"/>
          <w:szCs w:val="32"/>
        </w:rPr>
        <w:t xml:space="preserve">3. Attention Residuals: Complete Mathematical Treatment</w:t>
      </w:r>
    </w:p>
    <w:p>
      <w:pPr>
        <w:spacing w:after="120" w:line="300"/>
      </w:pPr>
      <w:r>
        <w:rPr>
          <w:rFonts w:ascii="Cambria" w:cs="Cambria" w:eastAsia="Cambria" w:hAnsi="Cambria"/>
          <w:sz w:val="22"/>
          <w:szCs w:val="22"/>
        </w:rPr>
        <w:t xml:space="preserve">AttnRes replaces the fixed accumulation h_l = Σ v_i with a weighted mixture:</w:t>
      </w:r>
    </w:p>
    <w:p>
      <w:pPr>
        <w:spacing w:before="160" w:after="160"/>
        <w:jc w:val="center"/>
      </w:pPr>
      <w:r>
        <w:rPr>
          <w:rFonts w:ascii="Consolas" w:cs="Consolas" w:eastAsia="Consolas" w:hAnsi="Consolas"/>
          <w:color w:val="1B4F72"/>
          <w:sz w:val="22"/>
          <w:szCs w:val="22"/>
        </w:rPr>
        <w:t xml:space="preserve">h_l = Σ_{i=0}^{l-1} α_{i→l} · v_i    where Σ α_{i→l} = 1</w:t>
      </w:r>
    </w:p>
    <w:p>
      <w:pPr>
        <w:pStyle w:val="Heading3"/>
        <w:spacing w:before="240" w:after="120"/>
      </w:pPr>
      <w:r>
        <w:rPr>
          <w:rFonts w:ascii="Cambria" w:cs="Cambria" w:eastAsia="Cambria" w:hAnsi="Cambria"/>
          <w:b/>
          <w:bCs/>
          <w:color w:val="117A65"/>
          <w:sz w:val="22"/>
          <w:szCs w:val="22"/>
        </w:rPr>
        <w:t xml:space="preserve">Step 1: Query</w:t>
      </w:r>
    </w:p>
    <w:p>
      <w:pPr>
        <w:spacing w:before="160" w:after="160"/>
        <w:jc w:val="center"/>
      </w:pPr>
      <w:r>
        <w:rPr>
          <w:rFonts w:ascii="Consolas" w:cs="Consolas" w:eastAsia="Consolas" w:hAnsi="Consolas"/>
          <w:color w:val="1B4F72"/>
          <w:sz w:val="22"/>
          <w:szCs w:val="22"/>
        </w:rPr>
        <w:t xml:space="preserve">q_l = w_l ∈ ℝ^d</w:t>
      </w:r>
    </w:p>
    <w:p>
      <w:pPr>
        <w:spacing w:after="120" w:line="300"/>
      </w:pPr>
      <w:r>
        <w:rPr>
          <w:rFonts w:ascii="Cambria" w:cs="Cambria" w:eastAsia="Cambria" w:hAnsi="Cambria"/>
          <w:sz w:val="22"/>
          <w:szCs w:val="22"/>
        </w:rPr>
        <w:t xml:space="preserve">Each layer l has a single learned vector w_l. This is a static parameter, not computed from the input. It represents the layer's preference for what kind of earlier output to attend to.</w:t>
      </w:r>
    </w:p>
    <w:p>
      <w:pPr>
        <w:pStyle w:val="Heading3"/>
        <w:spacing w:before="240" w:after="120"/>
      </w:pPr>
      <w:r>
        <w:rPr>
          <w:rFonts w:ascii="Cambria" w:cs="Cambria" w:eastAsia="Cambria" w:hAnsi="Cambria"/>
          <w:b/>
          <w:bCs/>
          <w:color w:val="117A65"/>
          <w:sz w:val="22"/>
          <w:szCs w:val="22"/>
        </w:rPr>
        <w:t xml:space="preserve">Step 2: Keys and Values</w:t>
      </w:r>
    </w:p>
    <w:p>
      <w:pPr>
        <w:spacing w:before="160" w:after="160"/>
        <w:jc w:val="center"/>
      </w:pPr>
      <w:r>
        <w:rPr>
          <w:rFonts w:ascii="Consolas" w:cs="Consolas" w:eastAsia="Consolas" w:hAnsi="Consolas"/>
          <w:color w:val="1B4F72"/>
          <w:sz w:val="22"/>
          <w:szCs w:val="22"/>
        </w:rPr>
        <w:t xml:space="preserve">k_i = v_i = { h_1 if i=0 (embedding),  f_i(h_i) if i ≥ 1 (layer output) }</w:t>
      </w:r>
    </w:p>
    <w:p>
      <w:pPr>
        <w:spacing w:after="120" w:line="300"/>
      </w:pPr>
      <w:r>
        <w:rPr>
          <w:rFonts w:ascii="Cambria" w:cs="Cambria" w:eastAsia="Cambria" w:hAnsi="Cambria"/>
          <w:sz w:val="22"/>
          <w:szCs w:val="22"/>
        </w:rPr>
        <w:t xml:space="preserve">Keys and values are the actual layer outputs. Keys are RMSNorm'd inside the attention kernel, preventing layers with large-magnitude outputs from dominating based on magnitude rather than relevance.</w:t>
      </w:r>
    </w:p>
    <w:p>
      <w:pPr>
        <w:pStyle w:val="Heading3"/>
        <w:spacing w:before="240" w:after="120"/>
      </w:pPr>
      <w:r>
        <w:rPr>
          <w:rFonts w:ascii="Cambria" w:cs="Cambria" w:eastAsia="Cambria" w:hAnsi="Cambria"/>
          <w:b/>
          <w:bCs/>
          <w:color w:val="117A65"/>
          <w:sz w:val="22"/>
          <w:szCs w:val="22"/>
        </w:rPr>
        <w:t xml:space="preserve">Step 3: Attention Kernel</w:t>
      </w:r>
    </w:p>
    <w:p>
      <w:pPr>
        <w:spacing w:before="160" w:after="160"/>
        <w:jc w:val="center"/>
      </w:pPr>
      <w:r>
        <w:rPr>
          <w:rFonts w:ascii="Consolas" w:cs="Consolas" w:eastAsia="Consolas" w:hAnsi="Consolas"/>
          <w:color w:val="1B4F72"/>
          <w:sz w:val="22"/>
          <w:szCs w:val="22"/>
        </w:rPr>
        <w:t xml:space="preserve">ϕ(q, k) = exp(q^T · RMSNorm(k))</w:t>
      </w:r>
    </w:p>
    <w:p>
      <w:pPr>
        <w:spacing w:after="120" w:line="300"/>
      </w:pPr>
      <w:r>
        <w:rPr>
          <w:rFonts w:ascii="Cambria" w:cs="Cambria" w:eastAsia="Cambria" w:hAnsi="Cambria"/>
          <w:sz w:val="22"/>
          <w:szCs w:val="22"/>
        </w:rPr>
        <w:t xml:space="preserve">The exponential ensures positive weights. RMSNorm on keys means the kernel measures directional similarity (what the layer represents) rather than magnitude (how big the output is).</w:t>
      </w:r>
    </w:p>
    <w:p>
      <w:pPr>
        <w:pStyle w:val="Heading3"/>
        <w:spacing w:before="240" w:after="120"/>
      </w:pPr>
      <w:r>
        <w:rPr>
          <w:rFonts w:ascii="Cambria" w:cs="Cambria" w:eastAsia="Cambria" w:hAnsi="Cambria"/>
          <w:b/>
          <w:bCs/>
          <w:color w:val="117A65"/>
          <w:sz w:val="22"/>
          <w:szCs w:val="22"/>
        </w:rPr>
        <w:t xml:space="preserve">Step 4: Softmax Normalization</w:t>
      </w:r>
    </w:p>
    <w:p>
      <w:pPr>
        <w:spacing w:before="160" w:after="160"/>
        <w:jc w:val="center"/>
      </w:pPr>
      <w:r>
        <w:rPr>
          <w:rFonts w:ascii="Consolas" w:cs="Consolas" w:eastAsia="Consolas" w:hAnsi="Consolas"/>
          <w:color w:val="1B4F72"/>
          <w:sz w:val="22"/>
          <w:szCs w:val="22"/>
        </w:rPr>
        <w:t xml:space="preserve">α_{i→l} = ϕ(w_l, k_i) / Σ_j ϕ(w_l, k_j)</w:t>
      </w:r>
    </w:p>
    <w:p>
      <w:pPr>
        <w:spacing w:after="120" w:line="300"/>
      </w:pPr>
      <w:r>
        <w:rPr>
          <w:rFonts w:ascii="Cambria" w:cs="Cambria" w:eastAsia="Cambria" w:hAnsi="Cambria"/>
          <w:sz w:val="22"/>
          <w:szCs w:val="22"/>
        </w:rPr>
        <w:t xml:space="preserve">Softmax normalizes weights to sum to 1, forcing zero-sum competition between layers. If one layer gets high weight, others must get less. The model must choose what to emphasize.</w:t>
      </w:r>
    </w:p>
    <w:p>
      <w:pPr>
        <w:pStyle w:val="Heading3"/>
        <w:spacing w:before="240" w:after="120"/>
      </w:pPr>
      <w:r>
        <w:rPr>
          <w:rFonts w:ascii="Cambria" w:cs="Cambria" w:eastAsia="Cambria" w:hAnsi="Cambria"/>
          <w:b/>
          <w:bCs/>
          <w:color w:val="117A65"/>
          <w:sz w:val="22"/>
          <w:szCs w:val="22"/>
        </w:rPr>
        <w:t xml:space="preserve">Step 5: Aggregate</w:t>
      </w:r>
    </w:p>
    <w:p>
      <w:pPr>
        <w:spacing w:before="160" w:after="160"/>
        <w:jc w:val="center"/>
      </w:pPr>
      <w:r>
        <w:rPr>
          <w:rFonts w:ascii="Consolas" w:cs="Consolas" w:eastAsia="Consolas" w:hAnsi="Consolas"/>
          <w:color w:val="1B4F72"/>
          <w:sz w:val="22"/>
          <w:szCs w:val="22"/>
        </w:rPr>
        <w:t xml:space="preserve">h_l = Σ_{i=0}^{l-1} α_{i→l} · v_i</w:t>
      </w:r>
    </w:p>
    <w:p>
      <w:pPr>
        <w:pStyle w:val="Heading3"/>
        <w:spacing w:before="240" w:after="120"/>
      </w:pPr>
      <w:r>
        <w:rPr>
          <w:rFonts w:ascii="Cambria" w:cs="Cambria" w:eastAsia="Cambria" w:hAnsi="Cambria"/>
          <w:b/>
          <w:bCs/>
          <w:color w:val="117A65"/>
          <w:sz w:val="22"/>
          <w:szCs w:val="22"/>
        </w:rPr>
        <w:t xml:space="preserve">Parameter Overhead</w:t>
      </w:r>
    </w:p>
    <w:p>
      <w:pPr>
        <w:spacing w:after="120" w:line="300"/>
      </w:pPr>
      <w:r>
        <w:rPr>
          <w:rFonts w:ascii="Cambria" w:cs="Cambria" w:eastAsia="Cambria" w:hAnsi="Cambria"/>
          <w:sz w:val="22"/>
          <w:szCs w:val="22"/>
        </w:rPr>
        <w:t xml:space="preserve">AttnRes adds exactly one d-dimensional vector (w_l) and one RMSNorm per layer. For d=4096, L=128: 524K additional parameters, a negligible fraction of multi-billion parameter models. All w_l vectors are initialized to zero, ensuring initial α weights are uniform (reducing to standard residuals at training start).</w:t>
      </w:r>
    </w:p>
    <w:p>
      <w:pPr>
        <w:pStyle w:val="Heading3"/>
        <w:spacing w:before="240" w:after="120"/>
      </w:pPr>
      <w:r>
        <w:rPr>
          <w:rFonts w:ascii="Cambria" w:cs="Cambria" w:eastAsia="Cambria" w:hAnsi="Cambria"/>
          <w:b/>
          <w:bCs/>
          <w:color w:val="117A65"/>
          <w:sz w:val="22"/>
          <w:szCs w:val="22"/>
        </w:rPr>
        <w:t xml:space="preserve">Block AttnRes</w:t>
      </w:r>
    </w:p>
    <w:p>
      <w:pPr>
        <w:spacing w:after="120" w:line="300"/>
      </w:pPr>
      <w:r>
        <w:rPr>
          <w:rFonts w:ascii="Cambria" w:cs="Cambria" w:eastAsia="Cambria" w:hAnsi="Cambria"/>
          <w:sz w:val="22"/>
          <w:szCs w:val="22"/>
        </w:rPr>
        <w:t xml:space="preserve">Groups L layers into N ≈ 8 blocks. Within each block, outputs accumulate via standard residuals. Across blocks, softmax attention selects among block summaries. This reduces memory and communication from O(Ld) to O(Nd).</w:t>
      </w:r>
    </w:p>
    <w:p>
      <w:pPr>
        <w:spacing w:before="160" w:after="160"/>
        <w:jc w:val="center"/>
      </w:pPr>
      <w:r>
        <w:rPr>
          <w:rFonts w:ascii="Consolas" w:cs="Consolas" w:eastAsia="Consolas" w:hAnsi="Consolas"/>
          <w:color w:val="1B4F72"/>
          <w:sz w:val="22"/>
          <w:szCs w:val="22"/>
        </w:rPr>
        <w:t xml:space="preserve">b_n = Σ_{j ∈ Block_n} f_j(h_j)    [intra-block sum]</w:t>
      </w:r>
    </w:p>
    <w:p>
      <w:pPr>
        <w:spacing w:before="160" w:after="160"/>
        <w:jc w:val="center"/>
      </w:pPr>
      <w:r>
        <w:rPr>
          <w:rFonts w:ascii="Consolas" w:cs="Consolas" w:eastAsia="Consolas" w:hAnsi="Consolas"/>
          <w:color w:val="1B4F72"/>
          <w:sz w:val="22"/>
          <w:szCs w:val="22"/>
        </w:rPr>
        <w:t xml:space="preserve">h_l = softmax(w_l · RMSNorm([b_0, ..., b_{n-1}, b^partial_n])) · V    [inter-block attention]</w:t>
      </w:r>
    </w:p>
    <w:p>
      <w:pPr>
        <w:pStyle w:val="Heading3"/>
        <w:spacing w:before="240" w:after="120"/>
      </w:pPr>
      <w:r>
        <w:rPr>
          <w:rFonts w:ascii="Cambria" w:cs="Cambria" w:eastAsia="Cambria" w:hAnsi="Cambria"/>
          <w:b/>
          <w:bCs/>
          <w:color w:val="117A65"/>
          <w:sz w:val="22"/>
          <w:szCs w:val="22"/>
        </w:rPr>
        <w:t xml:space="preserve">Key Ablation Results (Table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Variant</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Loss</w:t>
            </w:r>
          </w:p>
        </w:tc>
        <w:tc>
          <w:tcPr>
            <w:tcW w:type="dxa" w:w="5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Interpretation</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Baseline (PreNorm)</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1.766</w:t>
            </w:r>
          </w:p>
        </w:tc>
        <w:tc>
          <w:tcPr>
            <w:tcW w:type="dxa" w:w="51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Standard residual connections</w:t>
            </w:r>
          </w:p>
        </w:tc>
      </w:tr>
      <w:tr>
        <w:tc>
          <w:tcPr>
            <w:tcW w:type="dxa" w:w="30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DenseFormer</w:t>
            </w:r>
          </w:p>
        </w:tc>
        <w:tc>
          <w:tcPr>
            <w:tcW w:type="dxa" w:w="1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1.767</w:t>
            </w:r>
          </w:p>
        </w:tc>
        <w:tc>
          <w:tcPr>
            <w:tcW w:type="dxa" w:w="51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Static weights: no gain over baseline</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mHC (m streams)</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1.747</w:t>
            </w:r>
          </w:p>
        </w:tc>
        <w:tc>
          <w:tcPr>
            <w:tcW w:type="dxa" w:w="51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Input-dependent: improvement from dynamic routing</w:t>
            </w:r>
          </w:p>
        </w:tc>
      </w:tr>
      <w:tr>
        <w:tc>
          <w:tcPr>
            <w:tcW w:type="dxa" w:w="30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Full AttnRes</w:t>
            </w:r>
          </w:p>
        </w:tc>
        <w:tc>
          <w:tcPr>
            <w:tcW w:type="dxa" w:w="1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1.737</w:t>
            </w:r>
          </w:p>
        </w:tc>
        <w:tc>
          <w:tcPr>
            <w:tcW w:type="dxa" w:w="51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Softmax attention over depth: best result</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 input-dependent query</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1.731</w:t>
            </w:r>
          </w:p>
        </w:tc>
        <w:tc>
          <w:tcPr>
            <w:tcW w:type="dxa" w:w="51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Even better, but adds d×d projection per layer</w:t>
            </w:r>
          </w:p>
        </w:tc>
      </w:tr>
      <w:tr>
        <w:tc>
          <w:tcPr>
            <w:tcW w:type="dxa" w:w="30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 sigmoid (not softmax)</w:t>
            </w:r>
          </w:p>
        </w:tc>
        <w:tc>
          <w:tcPr>
            <w:tcW w:type="dxa" w:w="1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1.741</w:t>
            </w:r>
          </w:p>
        </w:tc>
        <w:tc>
          <w:tcPr>
            <w:tcW w:type="dxa" w:w="51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Softmax competition matters: sigmoid is worse</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 input-independent mixing</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1.749</w:t>
            </w:r>
          </w:p>
        </w:tc>
        <w:tc>
          <w:tcPr>
            <w:tcW w:type="dxa" w:w="51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Content-dependence matters</w:t>
            </w:r>
          </w:p>
        </w:tc>
      </w:tr>
      <w:tr>
        <w:tc>
          <w:tcPr>
            <w:tcW w:type="dxa" w:w="30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Block AttnRes (S=4)</w:t>
            </w:r>
          </w:p>
        </w:tc>
        <w:tc>
          <w:tcPr>
            <w:tcW w:type="dxa" w:w="1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1.746</w:t>
            </w:r>
          </w:p>
        </w:tc>
        <w:tc>
          <w:tcPr>
            <w:tcW w:type="dxa" w:w="51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Near-full performance at fraction of memory</w:t>
            </w:r>
          </w:p>
        </w:tc>
      </w:tr>
    </w:tbl>
    <w:p>
      <w:r>
        <w:br w:type="page"/>
      </w:r>
    </w:p>
    <w:p>
      <w:pPr>
        <w:pStyle w:val="Heading1"/>
        <w:spacing w:before="360" w:after="200"/>
      </w:pPr>
      <w:r>
        <w:rPr>
          <w:rFonts w:ascii="Cambria" w:cs="Cambria" w:eastAsia="Cambria" w:hAnsi="Cambria"/>
          <w:b/>
          <w:bCs/>
          <w:color w:val="1B4F72"/>
          <w:sz w:val="32"/>
          <w:szCs w:val="32"/>
        </w:rPr>
        <w:t xml:space="preserve">4. Prior Work Landscape</w:t>
      </w:r>
    </w:p>
    <w:p>
      <w:pPr>
        <w:pStyle w:val="Heading3"/>
        <w:spacing w:before="240" w:after="120"/>
      </w:pPr>
      <w:r>
        <w:rPr>
          <w:rFonts w:ascii="Cambria" w:cs="Cambria" w:eastAsia="Cambria" w:hAnsi="Cambria"/>
          <w:b/>
          <w:bCs/>
          <w:color w:val="117A65"/>
          <w:sz w:val="22"/>
          <w:szCs w:val="22"/>
        </w:rPr>
        <w:t xml:space="preserve">DeepCrossAttention (DCA) — Heddes et al., ICML 2025</w:t>
      </w:r>
    </w:p>
    <w:p>
      <w:pPr>
        <w:spacing w:after="120" w:line="300"/>
      </w:pPr>
      <w:r>
        <w:rPr>
          <w:rFonts w:ascii="Cambria" w:cs="Cambria" w:eastAsia="Cambria" w:hAnsi="Cambria"/>
          <w:b/>
          <w:bCs/>
          <w:sz w:val="22"/>
          <w:szCs w:val="22"/>
        </w:rPr>
        <w:t xml:space="preserve">The missing citation. </w:t>
      </w:r>
      <w:r>
        <w:rPr>
          <w:rFonts w:ascii="Cambria" w:cs="Cambria" w:eastAsia="Cambria" w:hAnsi="Cambria"/>
          <w:sz w:val="22"/>
          <w:szCs w:val="22"/>
        </w:rPr>
        <w:t xml:space="preserve">DCA was published February 2025 from Google Research with the same core motivation: fixed residual connections dilute information, and learned input-dependent weighting improves performance. DCA uses Gated Residual Networks (GRNs) — small MLPs that produce per-layer gating weights — and critically enables Q, K, and V in each attention block to independently combine layer outputs. This is more expressive per layer than AttnRes's single pseudo-query.</w:t>
      </w:r>
    </w:p>
    <w:p>
      <w:pPr>
        <w:spacing w:after="120" w:line="300"/>
      </w:pPr>
      <w:r>
        <w:rPr>
          <w:rFonts w:ascii="Cambria" w:cs="Cambria" w:eastAsia="Cambria" w:hAnsi="Cambria"/>
          <w:b/>
          <w:bCs/>
          <w:sz w:val="22"/>
          <w:szCs w:val="22"/>
        </w:rPr>
        <w:t xml:space="preserve">Key differences from AttnRes: </w:t>
      </w:r>
      <w:r>
        <w:rPr>
          <w:rFonts w:ascii="Cambria" w:cs="Cambria" w:eastAsia="Cambria" w:hAnsi="Cambria"/>
          <w:sz w:val="22"/>
          <w:szCs w:val="22"/>
        </w:rPr>
        <w:t xml:space="preserve">(1) DCA uses GRN gating, not softmax attention. (2) DCA routes Q/K/V independently; AttnRes uses one shared weighting. (3) DCA validated on 42-layer models on LM1B; AttnRes validated on 48B MoE at 1.4T tokens. (4) AttnRes provides the structured-matrix unification (Section 6.2) and Block AttnRes scaling infrastructure.</w:t>
      </w:r>
    </w:p>
    <w:p>
      <w:pPr>
        <w:pBdr>
          <w:left w:val="single" w:color="117A65" w:sz="8" w:space="8"/>
        </w:pBdr>
        <w:shd w:fill="E8F8F5" w:val="clear"/>
        <w:spacing w:before="160" w:after="40"/>
        <w:ind w:left="200" w:right="200"/>
      </w:pPr>
      <w:r>
        <w:rPr>
          <w:rFonts w:ascii="Cambria" w:cs="Cambria" w:eastAsia="Cambria" w:hAnsi="Cambria"/>
          <w:b/>
          <w:bCs/>
          <w:color w:val="117A65"/>
          <w:sz w:val="20"/>
          <w:szCs w:val="20"/>
        </w:rPr>
        <w:t xml:space="preserve">STRATEGIC IMPLICATION</w:t>
      </w:r>
    </w:p>
    <w:p>
      <w:pPr>
        <w:pBdr>
          <w:left w:val="single" w:color="117A65" w:sz="8" w:space="8"/>
        </w:pBdr>
        <w:shd w:fill="E8F8F5" w:val="clear"/>
        <w:spacing w:after="160"/>
        <w:ind w:left="200" w:right="200"/>
      </w:pPr>
      <w:r>
        <w:rPr>
          <w:rFonts w:ascii="Cambria" w:cs="Cambria" w:eastAsia="Cambria" w:hAnsi="Cambria"/>
          <w:color w:val="2C3E50"/>
          <w:sz w:val="20"/>
          <w:szCs w:val="20"/>
        </w:rPr>
        <w:t xml:space="preserve">Five independent groups converging on depth-wise routing (DCA, AttnRes, Hyper-Connections, mHC, MUDDFormer, DenseFormer) is convergent evidence that the phenomenon is real. For our experiment, this means depth-routing structure should be discoverable in existing models regardless of which specific mechanism is used to exploit it. This makes our oracle-α results more general, not less.</w:t>
      </w:r>
    </w:p>
    <w:p>
      <w:pPr>
        <w:pStyle w:val="Heading3"/>
        <w:spacing w:before="240" w:after="120"/>
      </w:pPr>
      <w:r>
        <w:rPr>
          <w:rFonts w:ascii="Cambria" w:cs="Cambria" w:eastAsia="Cambria" w:hAnsi="Cambria"/>
          <w:b/>
          <w:bCs/>
          <w:color w:val="117A65"/>
          <w:sz w:val="22"/>
          <w:szCs w:val="22"/>
        </w:rPr>
        <w:t xml:space="preserve">Other Methods in the Lineage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31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Method</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Venue</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Mechanism</w:t>
            </w:r>
          </w:p>
        </w:tc>
        <w:tc>
          <w:tcPr>
            <w:tcW w:type="dxa" w:w="3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Key Difference from AttnRes</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DenseFormer</w:t>
            </w:r>
          </w:p>
        </w:tc>
        <w:tc>
          <w:tcPr>
            <w:tcW w:type="dxa" w:w="1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NeurIPS 2024</w:t>
            </w:r>
          </w:p>
        </w:tc>
        <w:tc>
          <w:tcPr>
            <w:tcW w:type="dxa" w:w="2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Static learned scalar weights per layer</w:t>
            </w:r>
          </w:p>
        </w:tc>
        <w:tc>
          <w:tcPr>
            <w:tcW w:type="dxa" w:w="31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Input-independent: no gain over baseline in AttnRes ablation</w:t>
            </w:r>
          </w:p>
        </w:tc>
      </w:tr>
      <w:tr>
        <w:tc>
          <w:tcPr>
            <w:tcW w:type="dxa" w:w="18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Hyper-Connections</w:t>
            </w:r>
          </w:p>
        </w:tc>
        <w:tc>
          <w:tcPr>
            <w:tcW w:type="dxa" w:w="1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ICLR 2025</w:t>
            </w:r>
          </w:p>
        </w:tc>
        <w:tc>
          <w:tcPr>
            <w:tcW w:type="dxa" w:w="28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m parallel streams with mixing matrices</w:t>
            </w:r>
          </w:p>
        </w:tc>
        <w:tc>
          <w:tcPr>
            <w:tcW w:type="dxa" w:w="31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Multi-stream recurrence, not cross-layer attention</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mHC</w:t>
            </w:r>
          </w:p>
        </w:tc>
        <w:tc>
          <w:tcPr>
            <w:tcW w:type="dxa" w:w="1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DeepSeek, Dec 2025</w:t>
            </w:r>
          </w:p>
        </w:tc>
        <w:tc>
          <w:tcPr>
            <w:tcW w:type="dxa" w:w="2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Manifold-constrained mixing on Birkhoff polytope</w:t>
            </w:r>
          </w:p>
        </w:tc>
        <w:tc>
          <w:tcPr>
            <w:tcW w:type="dxa" w:w="31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Doubly stochastic matrices for stability</w:t>
            </w:r>
          </w:p>
        </w:tc>
      </w:tr>
      <w:tr>
        <w:tc>
          <w:tcPr>
            <w:tcW w:type="dxa" w:w="18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MUDDFormer</w:t>
            </w:r>
          </w:p>
        </w:tc>
        <w:tc>
          <w:tcPr>
            <w:tcW w:type="dxa" w:w="1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ICML 2025</w:t>
            </w:r>
          </w:p>
        </w:tc>
        <w:tc>
          <w:tcPr>
            <w:tcW w:type="dxa" w:w="28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4 decoupled streams with position-dependent MLP weights</w:t>
            </w:r>
          </w:p>
        </w:tc>
        <w:tc>
          <w:tcPr>
            <w:tcW w:type="dxa" w:w="31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Multiple streams, position-dependent</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SiameseNorm</w:t>
            </w:r>
          </w:p>
        </w:tc>
        <w:tc>
          <w:tcPr>
            <w:tcW w:type="dxa" w:w="1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2026</w:t>
            </w:r>
          </w:p>
        </w:tc>
        <w:tc>
          <w:tcPr>
            <w:tcW w:type="dxa" w:w="2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Two streams: PreNorm + PostNorm</w:t>
            </w:r>
          </w:p>
        </w:tc>
        <w:tc>
          <w:tcPr>
            <w:tcW w:type="dxa" w:w="31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Addresses normalization, not selective routing</w:t>
            </w:r>
          </w:p>
        </w:tc>
      </w:tr>
    </w:tbl>
    <w:p>
      <w:r>
        <w:br w:type="page"/>
      </w:r>
    </w:p>
    <w:p>
      <w:pPr>
        <w:spacing w:before="200" w:after="300"/>
        <w:jc w:val="center"/>
      </w:pPr>
      <w:r>
        <w:rPr>
          <w:rFonts w:ascii="Cambria" w:cs="Cambria" w:eastAsia="Cambria" w:hAnsi="Cambria"/>
          <w:b/>
          <w:bCs/>
          <w:color w:val="1B4F72"/>
          <w:sz w:val="28"/>
          <w:szCs w:val="28"/>
        </w:rPr>
        <w:t xml:space="preserve">PART II: INTERPRETABILITY IMPLICATIONS</w:t>
      </w:r>
    </w:p>
    <w:p>
      <w:pPr>
        <w:pStyle w:val="Heading1"/>
        <w:spacing w:before="360" w:after="200"/>
      </w:pPr>
      <w:r>
        <w:rPr>
          <w:rFonts w:ascii="Cambria" w:cs="Cambria" w:eastAsia="Cambria" w:hAnsi="Cambria"/>
          <w:b/>
          <w:bCs/>
          <w:color w:val="1B4F72"/>
          <w:sz w:val="32"/>
          <w:szCs w:val="32"/>
        </w:rPr>
        <w:t xml:space="preserve">6. What Changes for Mechanistic Interpretability</w:t>
      </w:r>
    </w:p>
    <w:p>
      <w:pPr>
        <w:spacing w:after="120" w:line="300"/>
      </w:pPr>
      <w:r>
        <w:rPr>
          <w:rFonts w:ascii="Cambria" w:cs="Cambria" w:eastAsia="Cambria" w:hAnsi="Cambria"/>
          <w:sz w:val="22"/>
          <w:szCs w:val="22"/>
        </w:rPr>
        <w:t xml:space="preserve">Every major interpretability tool assumes the residual stream is h_l = Σ v_i with fixed, equal weights. AttnRes changes it to h_l = Σ α_i · v_i with learned, input-dependent weights. This is the most fundamental architectural change for interpretability since the introduction of attention itself.</w:t>
      </w:r>
    </w:p>
    <w:p>
      <w:pPr>
        <w:pStyle w:val="Heading3"/>
        <w:spacing w:before="240" w:after="120"/>
      </w:pPr>
      <w:r>
        <w:rPr>
          <w:rFonts w:ascii="Cambria" w:cs="Cambria" w:eastAsia="Cambria" w:hAnsi="Cambria"/>
          <w:b/>
          <w:bCs/>
          <w:color w:val="117A65"/>
          <w:sz w:val="22"/>
          <w:szCs w:val="22"/>
        </w:rPr>
        <w:t xml:space="preserve">The Core Shift: From Fixed Decomposition to Weighted Mixture</w:t>
      </w:r>
    </w:p>
    <w:p>
      <w:pPr>
        <w:spacing w:after="120" w:line="300"/>
      </w:pPr>
      <w:r>
        <w:rPr>
          <w:rFonts w:ascii="Cambria" w:cs="Cambria" w:eastAsia="Cambria" w:hAnsi="Cambria"/>
          <w:b/>
          <w:bCs/>
          <w:sz w:val="22"/>
          <w:szCs w:val="22"/>
        </w:rPr>
        <w:t xml:space="preserve">Standard: </w:t>
      </w:r>
      <w:r>
        <w:rPr>
          <w:rFonts w:ascii="Cambria" w:cs="Cambria" w:eastAsia="Cambria" w:hAnsi="Cambria"/>
          <w:sz w:val="22"/>
          <w:szCs w:val="22"/>
        </w:rPr>
        <w:t xml:space="preserve">h_l = v_0 + v_1 + v_2 + ... + v_{l-1}. Every layer output is present with equal weight. You can read off any layer's contribution by examining v_i in isolation. Superposition is additive.</w:t>
      </w:r>
    </w:p>
    <w:p>
      <w:pPr>
        <w:spacing w:after="120" w:line="300"/>
      </w:pPr>
      <w:r>
        <w:rPr>
          <w:rFonts w:ascii="Cambria" w:cs="Cambria" w:eastAsia="Cambria" w:hAnsi="Cambria"/>
          <w:b/>
          <w:bCs/>
          <w:sz w:val="22"/>
          <w:szCs w:val="22"/>
        </w:rPr>
        <w:t xml:space="preserve">AttnRes: </w:t>
      </w:r>
      <w:r>
        <w:rPr>
          <w:rFonts w:ascii="Cambria" w:cs="Cambria" w:eastAsia="Cambria" w:hAnsi="Cambria"/>
          <w:sz w:val="22"/>
          <w:szCs w:val="22"/>
        </w:rPr>
        <w:t xml:space="preserve">h_l = α_0·v_0 + α_1·v_1 + ... + α_{l-1}·v_{l-1}. Weights are softmax-normalized and input-dependent. A layer's contribution can be amplified or suppressed depending on the input. Superposition is weighted and dynamic.</w:t>
      </w:r>
    </w:p>
    <w:p>
      <w:pPr>
        <w:pStyle w:val="Heading3"/>
        <w:spacing w:before="240" w:after="120"/>
      </w:pPr>
      <w:r>
        <w:rPr>
          <w:rFonts w:ascii="Cambria" w:cs="Cambria" w:eastAsia="Cambria" w:hAnsi="Cambria"/>
          <w:b/>
          <w:bCs/>
          <w:color w:val="117A65"/>
          <w:sz w:val="22"/>
          <w:szCs w:val="22"/>
        </w:rPr>
        <w:t xml:space="preserve">Three Structural Consequences</w:t>
      </w:r>
    </w:p>
    <w:p>
      <w:pPr>
        <w:pStyle w:val="ListParagraph"/>
        <w:numPr>
          <w:ilvl w:val="0"/>
          <w:numId w:val="2"/>
        </w:numPr>
        <w:spacing w:after="80" w:line="280"/>
      </w:pPr>
      <w:r>
        <w:rPr>
          <w:rFonts w:ascii="Cambria" w:cs="Cambria" w:eastAsia="Cambria" w:hAnsi="Cambria"/>
          <w:b/>
          <w:bCs/>
          <w:sz w:val="22"/>
          <w:szCs w:val="22"/>
        </w:rPr>
        <w:t xml:space="preserve">Layer contributions are no longer separable. </w:t>
      </w:r>
      <w:r>
        <w:rPr>
          <w:rFonts w:ascii="Cambria" w:cs="Cambria" w:eastAsia="Cambria" w:hAnsi="Cambria"/>
          <w:sz w:val="22"/>
          <w:szCs w:val="22"/>
        </w:rPr>
        <w:t xml:space="preserve">In standard residuals, subtracting v_i removes layer i's effect cleanly. With AttnRes, removing v_i also changes the softmax denominator, redistributing weight to all other layers. Like removing a dish from a buffet — everyone's plates redistribute.</w:t>
      </w:r>
    </w:p>
    <w:p>
      <w:pPr>
        <w:pStyle w:val="ListParagraph"/>
        <w:numPr>
          <w:ilvl w:val="0"/>
          <w:numId w:val="2"/>
        </w:numPr>
        <w:spacing w:after="80" w:line="280"/>
      </w:pPr>
      <w:r>
        <w:rPr>
          <w:rFonts w:ascii="Cambria" w:cs="Cambria" w:eastAsia="Cambria" w:hAnsi="Cambria"/>
          <w:b/>
          <w:bCs/>
          <w:sz w:val="22"/>
          <w:szCs w:val="22"/>
        </w:rPr>
        <w:t xml:space="preserve">Feature directions are context-gated. </w:t>
      </w:r>
      <w:r>
        <w:rPr>
          <w:rFonts w:ascii="Cambria" w:cs="Cambria" w:eastAsia="Cambria" w:hAnsi="Cambria"/>
          <w:sz w:val="22"/>
          <w:szCs w:val="22"/>
        </w:rPr>
        <w:t xml:space="preserve">If layer 3 writes an 'is_plural' feature with α=0.8 on input A but α=0.1 on input B, the effective magnitude in the residual stream differs 8×. The feature exists but is gated by depth-wise attention.</w:t>
      </w:r>
    </w:p>
    <w:p>
      <w:pPr>
        <w:pStyle w:val="ListParagraph"/>
        <w:numPr>
          <w:ilvl w:val="0"/>
          <w:numId w:val="2"/>
        </w:numPr>
        <w:spacing w:after="80" w:line="280"/>
      </w:pPr>
      <w:r>
        <w:rPr>
          <w:rFonts w:ascii="Cambria" w:cs="Cambria" w:eastAsia="Cambria" w:hAnsi="Cambria"/>
          <w:b/>
          <w:bCs/>
          <w:sz w:val="22"/>
          <w:szCs w:val="22"/>
        </w:rPr>
        <w:t xml:space="preserve">Competition between layers is explicit. </w:t>
      </w:r>
      <w:r>
        <w:rPr>
          <w:rFonts w:ascii="Cambria" w:cs="Cambria" w:eastAsia="Cambria" w:hAnsi="Cambria"/>
          <w:sz w:val="22"/>
          <w:szCs w:val="22"/>
        </w:rPr>
        <w:t xml:space="preserve">Softmax forces α's to sum to 1. If one layer gets high weight, others get less. Layers compete for residual-stream bandwidth in a way standard residuals never do.</w:t>
      </w:r>
    </w:p>
    <w:p>
      <w:pPr>
        <w:pBdr>
          <w:left w:val="single" w:color="117A65" w:sz="8" w:space="8"/>
        </w:pBdr>
        <w:shd w:fill="E8F8F5" w:val="clear"/>
        <w:spacing w:before="160" w:after="40"/>
        <w:ind w:left="200" w:right="200"/>
      </w:pPr>
      <w:r>
        <w:rPr>
          <w:rFonts w:ascii="Cambria" w:cs="Cambria" w:eastAsia="Cambria" w:hAnsi="Cambria"/>
          <w:b/>
          <w:bCs/>
          <w:color w:val="117A65"/>
          <w:sz w:val="20"/>
          <w:szCs w:val="20"/>
        </w:rPr>
        <w:t xml:space="preserve">THE DEEPEST INSIGHT</w:t>
      </w:r>
    </w:p>
    <w:p>
      <w:pPr>
        <w:pBdr>
          <w:left w:val="single" w:color="117A65" w:sz="8" w:space="8"/>
        </w:pBdr>
        <w:shd w:fill="E8F8F5" w:val="clear"/>
        <w:spacing w:after="160"/>
        <w:ind w:left="200" w:right="200"/>
      </w:pPr>
      <w:r>
        <w:rPr>
          <w:rFonts w:ascii="Cambria" w:cs="Cambria" w:eastAsia="Cambria" w:hAnsi="Cambria"/>
          <w:color w:val="2C3E50"/>
          <w:sz w:val="20"/>
          <w:szCs w:val="20"/>
        </w:rPr>
        <w:t xml:space="preserve">Standard residuals entangle routing and computation. You can't tell whether layer 5 is important because it computed something useful or because its output happened to be large. AttnRes separates them: the α weights handle routing (how much to listen), while the layer functions handle computation (what to say). This separation is what makes the α weights a natural interpretability target. It's like separating the audio mixing board from the musicians.</w:t>
      </w:r>
    </w:p>
    <w:p>
      <w:pPr>
        <w:pStyle w:val="Heading1"/>
        <w:spacing w:before="360" w:after="200"/>
      </w:pPr>
      <w:r>
        <w:rPr>
          <w:rFonts w:ascii="Cambria" w:cs="Cambria" w:eastAsia="Cambria" w:hAnsi="Cambria"/>
          <w:b/>
          <w:bCs/>
          <w:color w:val="1B4F72"/>
          <w:sz w:val="32"/>
          <w:szCs w:val="32"/>
        </w:rPr>
        <w:t xml:space="preserve">7. Tool-by-Tool Impact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Tool</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Status Under AttnRes</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What Changes</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Adaptation Required</w:t>
            </w:r>
          </w:p>
        </w:tc>
      </w:tr>
      <w:tr>
        <w:tc>
          <w:tcPr>
            <w:tcW w:type="dxa" w:w="1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Logit lens</w:t>
            </w:r>
          </w:p>
        </w:tc>
        <w:tc>
          <w:tcPr>
            <w:tcW w:type="dxa" w:w="1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Partially breaks</w:t>
            </w:r>
          </w:p>
        </w:tc>
        <w:tc>
          <w:tcPr>
            <w:tcW w:type="dxa" w:w="2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Predictions become non-monotonic across layers; features can appear and disappear</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Track α weights alongside projections; retrain tuned lens probes</w:t>
            </w:r>
          </w:p>
        </w:tc>
      </w:tr>
      <w:tr>
        <w:tc>
          <w:tcPr>
            <w:tcW w:type="dxa" w:w="1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Activation patching</w:t>
            </w:r>
          </w:p>
        </w:tc>
        <w:tc>
          <w:tcPr>
            <w:tcW w:type="dxa" w:w="1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Needs α-awareness</w:t>
            </w:r>
          </w:p>
        </w:tc>
        <w:tc>
          <w:tcPr>
            <w:tcW w:type="dxa" w:w="28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Patching v_i changes softmax denominator for all downstream layers</w:t>
            </w:r>
          </w:p>
        </w:tc>
        <w:tc>
          <w:tcPr>
            <w:tcW w:type="dxa" w:w="33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Constrained patching: freeze α at non-target layers during intervention</w:t>
            </w:r>
          </w:p>
        </w:tc>
      </w:tr>
      <w:tr>
        <w:tc>
          <w:tcPr>
            <w:tcW w:type="dxa" w:w="1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SAE decomposition</w:t>
            </w:r>
          </w:p>
        </w:tc>
        <w:tc>
          <w:tcPr>
            <w:tcW w:type="dxa" w:w="1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Gets more interesting</w:t>
            </w:r>
          </w:p>
        </w:tc>
        <w:tc>
          <w:tcPr>
            <w:tcW w:type="dxa" w:w="2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Features become α-gated: effective activation = α_i · c_{ij}</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Three decomposition targets: v_i, h_l, and α vectors themselves</w:t>
            </w:r>
          </w:p>
        </w:tc>
      </w:tr>
      <w:tr>
        <w:tc>
          <w:tcPr>
            <w:tcW w:type="dxa" w:w="1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Contribution analysis</w:t>
            </w:r>
          </w:p>
        </w:tc>
        <w:tc>
          <w:tcPr>
            <w:tcW w:type="dxa" w:w="1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Strictly better</w:t>
            </w:r>
          </w:p>
        </w:tc>
        <w:tc>
          <w:tcPr>
            <w:tcW w:type="dxa" w:w="28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logits = Σ α_i · (W_U · v_i): exact decomposition with learned weights</w:t>
            </w:r>
          </w:p>
        </w:tc>
        <w:tc>
          <w:tcPr>
            <w:tcW w:type="dxa" w:w="33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Use α weights as explicit importance measure</w:t>
            </w:r>
          </w:p>
        </w:tc>
      </w:tr>
      <w:tr>
        <w:tc>
          <w:tcPr>
            <w:tcW w:type="dxa" w:w="1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Circuit tracing</w:t>
            </w:r>
          </w:p>
        </w:tc>
        <w:tc>
          <w:tcPr>
            <w:tcW w:type="dxa" w:w="1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Graph becomes dynamic</w:t>
            </w:r>
          </w:p>
        </w:tc>
        <w:tc>
          <w:tcPr>
            <w:tcW w:type="dxa" w:w="2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Edge weights vary with input through α mechanism</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Weight attribution edges by α values; adapt constrained patching</w:t>
            </w:r>
          </w:p>
        </w:tc>
      </w:tr>
    </w:tbl>
    <w:p>
      <w:r>
        <w:br w:type="page"/>
      </w:r>
    </w:p>
    <w:p>
      <w:pPr>
        <w:pStyle w:val="Heading1"/>
        <w:spacing w:before="360" w:after="200"/>
      </w:pPr>
      <w:r>
        <w:rPr>
          <w:rFonts w:ascii="Cambria" w:cs="Cambria" w:eastAsia="Cambria" w:hAnsi="Cambria"/>
          <w:b/>
          <w:bCs/>
          <w:color w:val="1B4F72"/>
          <w:sz w:val="32"/>
          <w:szCs w:val="32"/>
        </w:rPr>
        <w:t xml:space="preserve">8. The New Interpretability Surface</w:t>
      </w:r>
    </w:p>
    <w:p>
      <w:pPr>
        <w:spacing w:after="120" w:line="300"/>
      </w:pPr>
      <w:r>
        <w:rPr>
          <w:rFonts w:ascii="Cambria" w:cs="Cambria" w:eastAsia="Cambria" w:hAnsi="Cambria"/>
          <w:sz w:val="22"/>
          <w:szCs w:val="22"/>
        </w:rPr>
        <w:t xml:space="preserve">AttnRes creates three novel targets for mechanistic analysis that don't exist in standard transformers:</w:t>
      </w:r>
    </w:p>
    <w:p>
      <w:pPr>
        <w:pStyle w:val="ListParagraph"/>
        <w:numPr>
          <w:ilvl w:val="0"/>
          <w:numId w:val="2"/>
        </w:numPr>
        <w:spacing w:after="80" w:line="280"/>
      </w:pPr>
      <w:r>
        <w:rPr>
          <w:rFonts w:ascii="Cambria" w:cs="Cambria" w:eastAsia="Cambria" w:hAnsi="Cambria"/>
          <w:b/>
          <w:bCs/>
          <w:sz w:val="22"/>
          <w:szCs w:val="22"/>
        </w:rPr>
        <w:t xml:space="preserve">The α weight distributions: </w:t>
      </w:r>
      <w:r>
        <w:rPr>
          <w:rFonts w:ascii="Cambria" w:cs="Cambria" w:eastAsia="Cambria" w:hAnsi="Cambria"/>
          <w:sz w:val="22"/>
          <w:szCs w:val="22"/>
        </w:rPr>
        <w:t xml:space="preserve">Per-layer, per-token softmax distributions over depth. Low-dimensional (L scalars per layer per token), directly interpretable as routing decisions. Analogous to MoE routing weights but over depth instead of width.</w:t>
      </w:r>
    </w:p>
    <w:p>
      <w:pPr>
        <w:pStyle w:val="ListParagraph"/>
        <w:numPr>
          <w:ilvl w:val="0"/>
          <w:numId w:val="2"/>
        </w:numPr>
        <w:spacing w:after="80" w:line="280"/>
      </w:pPr>
      <w:r>
        <w:rPr>
          <w:rFonts w:ascii="Cambria" w:cs="Cambria" w:eastAsia="Cambria" w:hAnsi="Cambria"/>
          <w:b/>
          <w:bCs/>
          <w:sz w:val="22"/>
          <w:szCs w:val="22"/>
        </w:rPr>
        <w:t xml:space="preserve">The pseudo-query vectors w_l: </w:t>
      </w:r>
      <w:r>
        <w:rPr>
          <w:rFonts w:ascii="Cambria" w:cs="Cambria" w:eastAsia="Cambria" w:hAnsi="Cambria"/>
          <w:sz w:val="22"/>
          <w:szCs w:val="22"/>
        </w:rPr>
        <w:t xml:space="preserve">Static learned parameters in ℝ^d that encode each layer's default routing preferences. Their geometric structure (clustering, similarity to layer outputs, relationship to layer function) is directly analyzable.</w:t>
      </w:r>
    </w:p>
    <w:p>
      <w:pPr>
        <w:pStyle w:val="ListParagraph"/>
        <w:numPr>
          <w:ilvl w:val="0"/>
          <w:numId w:val="2"/>
        </w:numPr>
        <w:spacing w:after="80" w:line="280"/>
      </w:pPr>
      <w:r>
        <w:rPr>
          <w:rFonts w:ascii="Cambria" w:cs="Cambria" w:eastAsia="Cambria" w:hAnsi="Cambria"/>
          <w:b/>
          <w:bCs/>
          <w:sz w:val="22"/>
          <w:szCs w:val="22"/>
        </w:rPr>
        <w:t xml:space="preserve">Block-level representations: </w:t>
      </w:r>
      <w:r>
        <w:rPr>
          <w:rFonts w:ascii="Cambria" w:cs="Cambria" w:eastAsia="Cambria" w:hAnsi="Cambria"/>
          <w:sz w:val="22"/>
          <w:szCs w:val="22"/>
        </w:rPr>
        <w:t xml:space="preserve">In Block AttnRes, the N block summaries serve as compressed stage representations. Block boundaries may correspond to meaningful computation phases.</w:t>
      </w:r>
    </w:p>
    <w:p>
      <w:pPr>
        <w:pStyle w:val="Heading3"/>
        <w:spacing w:before="240" w:after="120"/>
      </w:pPr>
      <w:r>
        <w:rPr>
          <w:rFonts w:ascii="Cambria" w:cs="Cambria" w:eastAsia="Cambria" w:hAnsi="Cambria"/>
          <w:b/>
          <w:bCs/>
          <w:color w:val="117A65"/>
          <w:sz w:val="22"/>
          <w:szCs w:val="22"/>
        </w:rPr>
        <w:t xml:space="preserve">Figure 8 Patterns: What Trained AttnRes Models 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Pattern</w:t>
            </w:r>
          </w:p>
        </w:tc>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What It Shows</w:t>
            </w:r>
          </w:p>
        </w:tc>
        <w:tc>
          <w:tcPr>
            <w:tcW w:type="dxa" w:w="39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Why It Matters</w:t>
            </w:r>
          </w:p>
        </w:tc>
      </w:tr>
      <w:tr>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Diagonal dominance</w:t>
            </w:r>
          </w:p>
        </w:tc>
        <w:tc>
          <w:tcPr>
            <w:tcW w:type="dxa" w:w="3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Each layer mostly attends to its immediate predecessor</w:t>
            </w:r>
          </w:p>
        </w:tc>
        <w:tc>
          <w:tcPr>
            <w:tcW w:type="dxa" w:w="39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The gradient highway is still primary; AttnRes supplements with selective long-range access</w:t>
            </w:r>
          </w:p>
        </w:tc>
      </w:tr>
      <w:tr>
        <w:tc>
          <w:tcPr>
            <w:tcW w:type="dxa" w:w="2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Persistent embedding attention</w:t>
            </w:r>
          </w:p>
        </w:tc>
        <w:tc>
          <w:tcPr>
            <w:tcW w:type="dxa" w:w="3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Deep layers maintain weight on the original token embedding</w:t>
            </w:r>
          </w:p>
        </w:tc>
        <w:tc>
          <w:tcPr>
            <w:tcW w:type="dxa" w:w="39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Depth-wise analog of attention sinks (Xiao et al., 2023); raw token identity remains useful</w:t>
            </w:r>
          </w:p>
        </w:tc>
      </w:tr>
      <w:tr>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Layer-type specialization</w:t>
            </w:r>
          </w:p>
        </w:tc>
        <w:tc>
          <w:tcPr>
            <w:tcW w:type="dxa" w:w="3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Pre-attention layers have broader depth receptive fields; pre-MLP layers stay local</w:t>
            </w:r>
          </w:p>
        </w:tc>
        <w:tc>
          <w:tcPr>
            <w:tcW w:type="dxa" w:w="39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Attention needs diverse representations; MLPs operate locally. Previously hypothesized, never observable.</w:t>
            </w:r>
          </w:p>
        </w:tc>
      </w:tr>
      <w:tr>
        <w:tc>
          <w:tcPr>
            <w:tcW w:type="dxa" w:w="2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Learned skip connections</w:t>
            </w:r>
          </w:p>
        </w:tc>
        <w:tc>
          <w:tcPr>
            <w:tcW w:type="dxa" w:w="3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Specific layers reach back to specific earlier layers</w:t>
            </w:r>
          </w:p>
        </w:tc>
        <w:tc>
          <w:tcPr>
            <w:tcW w:type="dxa" w:w="39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Genuine skip connections discovered by training. In standard transformers, these exist but are invisible.</w:t>
            </w:r>
          </w:p>
        </w:tc>
      </w:tr>
    </w:tbl>
    <w:p>
      <w:r>
        <w:br w:type="page"/>
      </w:r>
    </w:p>
    <w:p>
      <w:pPr>
        <w:spacing w:before="200" w:after="300"/>
        <w:jc w:val="center"/>
      </w:pPr>
      <w:r>
        <w:rPr>
          <w:rFonts w:ascii="Cambria" w:cs="Cambria" w:eastAsia="Cambria" w:hAnsi="Cambria"/>
          <w:b/>
          <w:bCs/>
          <w:color w:val="1B4F72"/>
          <w:sz w:val="28"/>
          <w:szCs w:val="28"/>
        </w:rPr>
        <w:t xml:space="preserve">PART III: EXPERIMENTAL PLAN</w:t>
      </w:r>
    </w:p>
    <w:p>
      <w:pPr>
        <w:pStyle w:val="Heading1"/>
        <w:spacing w:before="360" w:after="200"/>
      </w:pPr>
      <w:r>
        <w:rPr>
          <w:rFonts w:ascii="Cambria" w:cs="Cambria" w:eastAsia="Cambria" w:hAnsi="Cambria"/>
          <w:b/>
          <w:bCs/>
          <w:color w:val="1B4F72"/>
          <w:sz w:val="32"/>
          <w:szCs w:val="32"/>
        </w:rPr>
        <w:t xml:space="preserve">9. Hypothesis and Null Models</w:t>
      </w:r>
    </w:p>
    <w:p>
      <w:pPr>
        <w:pStyle w:val="Heading3"/>
        <w:spacing w:before="240" w:after="120"/>
      </w:pPr>
      <w:r>
        <w:rPr>
          <w:rFonts w:ascii="Cambria" w:cs="Cambria" w:eastAsia="Cambria" w:hAnsi="Cambria"/>
          <w:b/>
          <w:bCs/>
          <w:color w:val="117A65"/>
          <w:sz w:val="22"/>
          <w:szCs w:val="22"/>
        </w:rPr>
        <w:t xml:space="preserve">Primary Hypothesis</w:t>
      </w:r>
    </w:p>
    <w:p>
      <w:pPr>
        <w:spacing w:after="120" w:line="300"/>
      </w:pPr>
      <w:r>
        <w:rPr>
          <w:rFonts w:ascii="Cambria" w:cs="Cambria" w:eastAsia="Cambria" w:hAnsi="Cambria"/>
          <w:i/>
          <w:iCs/>
          <w:color w:val="5D6D7E"/>
          <w:sz w:val="22"/>
          <w:szCs w:val="22"/>
        </w:rPr>
        <w:t xml:space="preserve">Standard transformer residual streams contain latent, input-dependent depth-routing structure: for a given input, there exist non-uniform softmax-constrained layer weights α* that reduce next-token prediction loss compared to the uniform weights (α = 1/L) implied by standard residual connections.</w:t>
      </w:r>
    </w:p>
    <w:p>
      <w:pPr>
        <w:pStyle w:val="Heading3"/>
        <w:spacing w:before="240" w:after="120"/>
      </w:pPr>
      <w:r>
        <w:rPr>
          <w:rFonts w:ascii="Cambria" w:cs="Cambria" w:eastAsia="Cambria" w:hAnsi="Cambria"/>
          <w:b/>
          <w:bCs/>
          <w:color w:val="117A65"/>
          <w:sz w:val="22"/>
          <w:szCs w:val="22"/>
        </w:rPr>
        <w:t xml:space="preserve">Secondary Hypothesis</w:t>
      </w:r>
    </w:p>
    <w:p>
      <w:pPr>
        <w:spacing w:after="120" w:line="300"/>
      </w:pPr>
      <w:r>
        <w:rPr>
          <w:rFonts w:ascii="Cambria" w:cs="Cambria" w:eastAsia="Cambria" w:hAnsi="Cambria"/>
          <w:i/>
          <w:iCs/>
          <w:color w:val="5D6D7E"/>
          <w:sz w:val="22"/>
          <w:szCs w:val="22"/>
        </w:rPr>
        <w:t xml:space="preserve">The optimal routing patterns α* are (a) systematically structured rather than random, (b) correlated with input characteristics, and (c) qualitatively consistent with patterns independently reported in trained AttnRes models (Figure 8).</w:t>
      </w:r>
    </w:p>
    <w:p>
      <w:pPr>
        <w:pStyle w:val="Heading3"/>
        <w:spacing w:before="240" w:after="120"/>
      </w:pPr>
      <w:r>
        <w:rPr>
          <w:rFonts w:ascii="Cambria" w:cs="Cambria" w:eastAsia="Cambria" w:hAnsi="Cambria"/>
          <w:b/>
          <w:bCs/>
          <w:color w:val="117A65"/>
          <w:sz w:val="22"/>
          <w:szCs w:val="22"/>
        </w:rPr>
        <w:t xml:space="preserve">Required Null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Null Model</w:t>
            </w:r>
          </w:p>
        </w:tc>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Definition</w:t>
            </w:r>
          </w:p>
        </w:tc>
        <w:tc>
          <w:tcPr>
            <w:tcW w:type="dxa" w:w="4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What It Controls For</w:t>
            </w:r>
          </w:p>
        </w:tc>
      </w:tr>
      <w:tr>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Uniform weights</w:t>
            </w:r>
          </w:p>
        </w:tc>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α = 1/L for all layers</w:t>
            </w:r>
          </w:p>
        </w:tc>
        <w:tc>
          <w:tcPr>
            <w:tcW w:type="dxa" w:w="41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The standard residual stream (baseline)</w:t>
            </w:r>
          </w:p>
        </w:tc>
      </w:tr>
      <w:tr>
        <w:tc>
          <w:tcPr>
            <w:tcW w:type="dxa" w:w="2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Random weights</w:t>
            </w:r>
          </w:p>
        </w:tc>
        <w:tc>
          <w:tcPr>
            <w:tcW w:type="dxa" w:w="30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α ~ Dirichlet, averaged over K=100 draws</w:t>
            </w:r>
          </w:p>
        </w:tc>
        <w:tc>
          <w:tcPr>
            <w:tcW w:type="dxa" w:w="41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Whether ANY reweighting helps vs. STRUCTURED reweighting</w:t>
            </w:r>
          </w:p>
        </w:tc>
      </w:tr>
      <w:tr>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Magnitude-proportional</w:t>
            </w:r>
          </w:p>
        </w:tc>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α_i ∝ ||v_i||</w:t>
            </w:r>
          </w:p>
        </w:tc>
        <w:tc>
          <w:tcPr>
            <w:tcW w:type="dxa" w:w="41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Whether structure comes from routing or just from magnitude</w:t>
            </w:r>
          </w:p>
        </w:tc>
      </w:tr>
      <w:tr>
        <w:tc>
          <w:tcPr>
            <w:tcW w:type="dxa" w:w="2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Last-layer-only</w:t>
            </w:r>
          </w:p>
        </w:tc>
        <w:tc>
          <w:tcPr>
            <w:tcW w:type="dxa" w:w="30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α_L = 1, all others 0</w:t>
            </w:r>
          </w:p>
        </w:tc>
        <w:tc>
          <w:tcPr>
            <w:tcW w:type="dxa" w:w="41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Whether earlier layers contribute at all</w:t>
            </w:r>
          </w:p>
        </w:tc>
      </w:tr>
    </w:tbl>
    <w:p>
      <w:pPr>
        <w:pBdr>
          <w:left w:val="single" w:color="922B21" w:sz="8" w:space="8"/>
        </w:pBdr>
        <w:shd w:fill="FDEDEC" w:val="clear"/>
        <w:spacing w:before="160" w:after="40"/>
        <w:ind w:left="200" w:right="200"/>
      </w:pPr>
      <w:r>
        <w:rPr>
          <w:rFonts w:ascii="Cambria" w:cs="Cambria" w:eastAsia="Cambria" w:hAnsi="Cambria"/>
          <w:b/>
          <w:bCs/>
          <w:color w:val="922B21"/>
          <w:sz w:val="20"/>
          <w:szCs w:val="20"/>
        </w:rPr>
        <w:t xml:space="preserve">VALIDATION GATE</w:t>
      </w:r>
    </w:p>
    <w:p>
      <w:pPr>
        <w:pBdr>
          <w:left w:val="single" w:color="922B21" w:sz="8" w:space="8"/>
        </w:pBdr>
        <w:shd w:fill="FDEDEC" w:val="clear"/>
        <w:spacing w:after="160"/>
        <w:ind w:left="200" w:right="200"/>
      </w:pPr>
      <w:r>
        <w:rPr>
          <w:rFonts w:ascii="Cambria" w:cs="Cambria" w:eastAsia="Cambria" w:hAnsi="Cambria"/>
          <w:color w:val="2C3E50"/>
          <w:sz w:val="20"/>
          <w:szCs w:val="20"/>
        </w:rPr>
        <w:t xml:space="preserve">Before proceeding past Phase 1, confirm on at least 100 sequences that oracle-α achieves mean cross-entropy reduction &gt; 0.01 nats with p &lt; 0.01 via paired t-test. If this fails, the depth routing signal is too weak to support the thesis.</w:t>
      </w:r>
    </w:p>
    <w:p>
      <w:pPr>
        <w:pStyle w:val="Heading1"/>
        <w:spacing w:before="360" w:after="200"/>
      </w:pPr>
      <w:r>
        <w:rPr>
          <w:rFonts w:ascii="Cambria" w:cs="Cambria" w:eastAsia="Cambria" w:hAnsi="Cambria"/>
          <w:b/>
          <w:bCs/>
          <w:color w:val="1B4F72"/>
          <w:sz w:val="32"/>
          <w:szCs w:val="32"/>
        </w:rPr>
        <w:t xml:space="preserve">10. Oracle-α Methodology</w:t>
      </w:r>
    </w:p>
    <w:p>
      <w:pPr>
        <w:pStyle w:val="Heading3"/>
        <w:spacing w:before="240" w:after="120"/>
      </w:pPr>
      <w:r>
        <w:rPr>
          <w:rFonts w:ascii="Cambria" w:cs="Cambria" w:eastAsia="Cambria" w:hAnsi="Cambria"/>
          <w:b/>
          <w:bCs/>
          <w:color w:val="117A65"/>
          <w:sz w:val="22"/>
          <w:szCs w:val="22"/>
        </w:rPr>
        <w:t xml:space="preserve">The Core Procedure</w:t>
      </w:r>
    </w:p>
    <w:p>
      <w:pPr>
        <w:spacing w:after="120" w:line="300"/>
      </w:pPr>
      <w:r>
        <w:rPr>
          <w:rFonts w:ascii="Cambria" w:cs="Cambria" w:eastAsia="Cambria" w:hAnsi="Cambria"/>
          <w:b/>
          <w:bCs/>
          <w:sz w:val="22"/>
          <w:szCs w:val="22"/>
        </w:rPr>
        <w:t xml:space="preserve">Step 1: </w:t>
      </w:r>
      <w:r>
        <w:rPr>
          <w:rFonts w:ascii="Cambria" w:cs="Cambria" w:eastAsia="Cambria" w:hAnsi="Cambria"/>
          <w:sz w:val="22"/>
          <w:szCs w:val="22"/>
        </w:rPr>
        <w:t xml:space="preserve">Run forward pass through the model, caching all sublayer outputs v_0 (embedding), v_1 (attention output layer 1), v_2 (MLP output layer 1), etc.</w:t>
      </w:r>
    </w:p>
    <w:p>
      <w:pPr>
        <w:spacing w:after="120" w:line="300"/>
      </w:pPr>
      <w:r>
        <w:rPr>
          <w:rFonts w:ascii="Cambria" w:cs="Cambria" w:eastAsia="Cambria" w:hAnsi="Cambria"/>
          <w:b/>
          <w:bCs/>
          <w:sz w:val="22"/>
          <w:szCs w:val="22"/>
        </w:rPr>
        <w:t xml:space="preserve">Step 2: </w:t>
      </w:r>
      <w:r>
        <w:rPr>
          <w:rFonts w:ascii="Cambria" w:cs="Cambria" w:eastAsia="Cambria" w:hAnsi="Cambria"/>
          <w:sz w:val="22"/>
          <w:szCs w:val="22"/>
        </w:rPr>
        <w:t xml:space="preserve">For each token position, solve: α* = argmin_α CrossEntropy(W_U · LayerNorm(Σ α_i · v_i), y_true), subject to α = softmax(z).</w:t>
      </w:r>
    </w:p>
    <w:p>
      <w:pPr>
        <w:spacing w:after="120" w:line="300"/>
      </w:pPr>
      <w:r>
        <w:rPr>
          <w:rFonts w:ascii="Cambria" w:cs="Cambria" w:eastAsia="Cambria" w:hAnsi="Cambria"/>
          <w:b/>
          <w:bCs/>
          <w:sz w:val="22"/>
          <w:szCs w:val="22"/>
        </w:rPr>
        <w:t xml:space="preserve">Step 3: </w:t>
      </w:r>
      <w:r>
        <w:rPr>
          <w:rFonts w:ascii="Cambria" w:cs="Cambria" w:eastAsia="Cambria" w:hAnsi="Cambria"/>
          <w:sz w:val="22"/>
          <w:szCs w:val="22"/>
        </w:rPr>
        <w:t xml:space="preserve">Optimize z via Adam (lr=0.1 → 0.01, 500 steps max, early stopping at Δloss &lt; 1e-6 for 20 steps).</w:t>
      </w:r>
    </w:p>
    <w:p>
      <w:pPr>
        <w:spacing w:after="120" w:line="300"/>
      </w:pPr>
      <w:r>
        <w:rPr>
          <w:rFonts w:ascii="Cambria" w:cs="Cambria" w:eastAsia="Cambria" w:hAnsi="Cambria"/>
          <w:b/>
          <w:bCs/>
          <w:sz w:val="22"/>
          <w:szCs w:val="22"/>
        </w:rPr>
        <w:t xml:space="preserve">Step 4: </w:t>
      </w:r>
      <w:r>
        <w:rPr>
          <w:rFonts w:ascii="Cambria" w:cs="Cambria" w:eastAsia="Cambria" w:hAnsi="Cambria"/>
          <w:sz w:val="22"/>
          <w:szCs w:val="22"/>
        </w:rPr>
        <w:t xml:space="preserve">Aggregate α* distributions across tokens, cluster by pattern, correlate with task type and SAE features.</w:t>
      </w:r>
    </w:p>
    <w:p>
      <w:pPr>
        <w:pBdr>
          <w:left w:val="single" w:color="922B21" w:sz="8" w:space="8"/>
        </w:pBdr>
        <w:shd w:fill="FDEDEC" w:val="clear"/>
        <w:spacing w:before="160" w:after="40"/>
        <w:ind w:left="200" w:right="200"/>
      </w:pPr>
      <w:r>
        <w:rPr>
          <w:rFonts w:ascii="Cambria" w:cs="Cambria" w:eastAsia="Cambria" w:hAnsi="Cambria"/>
          <w:b/>
          <w:bCs/>
          <w:color w:val="922B21"/>
          <w:sz w:val="20"/>
          <w:szCs w:val="20"/>
        </w:rPr>
        <w:t xml:space="preserve">CRITICAL SUBTLETY</w:t>
      </w:r>
    </w:p>
    <w:p>
      <w:pPr>
        <w:pBdr>
          <w:left w:val="single" w:color="922B21" w:sz="8" w:space="8"/>
        </w:pBdr>
        <w:shd w:fill="FDEDEC" w:val="clear"/>
        <w:spacing w:after="160"/>
        <w:ind w:left="200" w:right="200"/>
      </w:pPr>
      <w:r>
        <w:rPr>
          <w:rFonts w:ascii="Cambria" w:cs="Cambria" w:eastAsia="Cambria" w:hAnsi="Cambria"/>
          <w:color w:val="2C3E50"/>
          <w:sz w:val="20"/>
          <w:szCs w:val="20"/>
        </w:rPr>
        <w:t xml:space="preserve">Oracle-α optimizes a linear combination of layer outputs computed under standard residual connections. The resulting weights represent the best post-hoc routing given fixed layer computations, NOT the routing that would emerge if layers were trained with routing-aware inputs. Frame as a lower bound: even without co-adaptation, depth routing helps. With co-adaptation (as in AttnRes), the benefit should be larger.</w:t>
      </w:r>
    </w:p>
    <w:p>
      <w:pPr>
        <w:pStyle w:val="Heading3"/>
        <w:spacing w:before="240" w:after="120"/>
      </w:pPr>
      <w:r>
        <w:rPr>
          <w:rFonts w:ascii="Cambria" w:cs="Cambria" w:eastAsia="Cambria" w:hAnsi="Cambria"/>
          <w:b/>
          <w:bCs/>
          <w:color w:val="117A65"/>
          <w:sz w:val="22"/>
          <w:szCs w:val="22"/>
        </w:rPr>
        <w:t xml:space="preserve">Which Layer Outputs to Cache</w:t>
      </w:r>
    </w:p>
    <w:p>
      <w:pPr>
        <w:spacing w:after="120" w:line="300"/>
      </w:pPr>
      <w:r>
        <w:rPr>
          <w:rFonts w:ascii="Cambria" w:cs="Cambria" w:eastAsia="Cambria" w:hAnsi="Cambria"/>
          <w:sz w:val="22"/>
          <w:szCs w:val="22"/>
        </w:rPr>
        <w:t xml:space="preserve">The AttnRes paper treats each self-attention or MLP as an individual layer. This means L = 2 × (number of transformer blocks). For Gemma-2-2B with 26 blocks: 52 sublayers + 1 embedding = 53 sources. Use sublayer outputs (not resid_post per block) to enable testing the layer-type specialization prediction.</w:t>
      </w:r>
    </w:p>
    <w:p>
      <w:pPr>
        <w:spacing w:after="120" w:line="300"/>
      </w:pPr>
      <w:r>
        <w:rPr>
          <w:rFonts w:ascii="Cambria" w:cs="Cambria" w:eastAsia="Cambria" w:hAnsi="Cambria"/>
          <w:b/>
          <w:bCs/>
          <w:sz w:val="22"/>
          <w:szCs w:val="22"/>
        </w:rPr>
        <w:t xml:space="preserve">Validation: </w:t>
      </w:r>
      <w:r>
        <w:rPr>
          <w:rFonts w:ascii="Cambria" w:cs="Cambria" w:eastAsia="Cambria" w:hAnsi="Cambria"/>
          <w:sz w:val="22"/>
          <w:szCs w:val="22"/>
        </w:rPr>
        <w:t xml:space="preserve">Confirm that Σ v_i reconstructs the original h_L exactly (L2 error &lt; 1e-5). If it doesn't, the decomposition is wrong.</w:t>
      </w:r>
    </w:p>
    <w:p>
      <w:pPr>
        <w:pStyle w:val="Heading3"/>
        <w:spacing w:before="240" w:after="120"/>
      </w:pPr>
      <w:r>
        <w:rPr>
          <w:rFonts w:ascii="Cambria" w:cs="Cambria" w:eastAsia="Cambria" w:hAnsi="Cambria"/>
          <w:b/>
          <w:bCs/>
          <w:color w:val="117A65"/>
          <w:sz w:val="22"/>
          <w:szCs w:val="22"/>
        </w:rPr>
        <w:t xml:space="preserve">Per-Token vs. Per-Sequence Optimization</w:t>
      </w:r>
    </w:p>
    <w:p>
      <w:pPr>
        <w:spacing w:after="120" w:line="300"/>
      </w:pPr>
      <w:r>
        <w:rPr>
          <w:rFonts w:ascii="Cambria" w:cs="Cambria" w:eastAsia="Cambria" w:hAnsi="Cambria"/>
          <w:sz w:val="22"/>
          <w:szCs w:val="22"/>
        </w:rPr>
        <w:t xml:space="preserve">Per-token (one α per position): Maximum flexibility, reveals position-dependent routing. 512 × 53 variables per sequence. More expensive but richer.</w:t>
      </w:r>
    </w:p>
    <w:p>
      <w:pPr>
        <w:spacing w:after="120" w:line="300"/>
      </w:pPr>
      <w:r>
        <w:rPr>
          <w:rFonts w:ascii="Cambria" w:cs="Cambria" w:eastAsia="Cambria" w:hAnsi="Cambria"/>
          <w:sz w:val="22"/>
          <w:szCs w:val="22"/>
        </w:rPr>
        <w:t xml:space="preserve">Per-sequence (shared α): Simpler, faster, but loses position-dependent structure.</w:t>
      </w:r>
    </w:p>
    <w:p>
      <w:pPr>
        <w:spacing w:after="120" w:line="300"/>
      </w:pPr>
      <w:r>
        <w:rPr>
          <w:rFonts w:ascii="Cambria" w:cs="Cambria" w:eastAsia="Cambria" w:hAnsi="Cambria"/>
          <w:b/>
          <w:bCs/>
          <w:sz w:val="22"/>
          <w:szCs w:val="22"/>
        </w:rPr>
        <w:t xml:space="preserve">Recommendation: </w:t>
      </w:r>
      <w:r>
        <w:rPr>
          <w:rFonts w:ascii="Cambria" w:cs="Cambria" w:eastAsia="Cambria" w:hAnsi="Cambria"/>
          <w:sz w:val="22"/>
          <w:szCs w:val="22"/>
        </w:rPr>
        <w:t xml:space="preserve">Per-token, then aggregate. You can always average across positions to get per-sequence patterns but cannot go the other direction.</w:t>
      </w:r>
    </w:p>
    <w:p>
      <w:pPr>
        <w:pStyle w:val="Heading1"/>
        <w:spacing w:before="360" w:after="200"/>
      </w:pPr>
      <w:r>
        <w:rPr>
          <w:rFonts w:ascii="Cambria" w:cs="Cambria" w:eastAsia="Cambria" w:hAnsi="Cambria"/>
          <w:b/>
          <w:bCs/>
          <w:color w:val="1B4F72"/>
          <w:sz w:val="32"/>
          <w:szCs w:val="32"/>
        </w:rPr>
        <w:t xml:space="preserve">11. Pattern Analysis and SAE Integration</w:t>
      </w:r>
    </w:p>
    <w:p>
      <w:pPr>
        <w:pStyle w:val="Heading3"/>
        <w:spacing w:before="240" w:after="120"/>
      </w:pPr>
      <w:r>
        <w:rPr>
          <w:rFonts w:ascii="Cambria" w:cs="Cambria" w:eastAsia="Cambria" w:hAnsi="Cambria"/>
          <w:b/>
          <w:bCs/>
          <w:color w:val="117A65"/>
          <w:sz w:val="22"/>
          <w:szCs w:val="22"/>
        </w:rPr>
        <w:t xml:space="preserve">Clustering Methodology</w:t>
      </w:r>
    </w:p>
    <w:p>
      <w:pPr>
        <w:spacing w:after="120" w:line="300"/>
      </w:pPr>
      <w:r>
        <w:rPr>
          <w:rFonts w:ascii="Cambria" w:cs="Cambria" w:eastAsia="Cambria" w:hAnsi="Cambria"/>
          <w:b/>
          <w:bCs/>
          <w:sz w:val="22"/>
          <w:szCs w:val="22"/>
        </w:rPr>
        <w:t xml:space="preserve">Distance metric: </w:t>
      </w:r>
      <w:r>
        <w:rPr>
          <w:rFonts w:ascii="Cambria" w:cs="Cambria" w:eastAsia="Cambria" w:hAnsi="Cambria"/>
          <w:sz w:val="22"/>
          <w:szCs w:val="22"/>
        </w:rPr>
        <w:t xml:space="preserve">Jensen-Shannon divergence (JSD) as primary. α vectors are probability distributions (sum to 1); JSD is the natural metric. Use cosine similarity as sensitivity check.</w:t>
      </w:r>
    </w:p>
    <w:p>
      <w:pPr>
        <w:spacing w:after="120" w:line="300"/>
      </w:pPr>
      <w:r>
        <w:rPr>
          <w:rFonts w:ascii="Cambria" w:cs="Cambria" w:eastAsia="Cambria" w:hAnsi="Cambria"/>
          <w:b/>
          <w:bCs/>
          <w:sz w:val="22"/>
          <w:szCs w:val="22"/>
        </w:rPr>
        <w:t xml:space="preserve">Algorithm: </w:t>
      </w:r>
      <w:r>
        <w:rPr>
          <w:rFonts w:ascii="Cambria" w:cs="Cambria" w:eastAsia="Cambria" w:hAnsi="Cambria"/>
          <w:sz w:val="22"/>
          <w:szCs w:val="22"/>
        </w:rPr>
        <w:t xml:space="preserve">Hierarchical clustering with Ward linkage on JSD distances. Cut the dendrogram at different levels; check whether ~8 clusters emerge naturally (matching Block AttnRes's N≈8 finding).</w:t>
      </w:r>
    </w:p>
    <w:p>
      <w:pPr>
        <w:spacing w:after="120" w:line="300"/>
      </w:pPr>
      <w:r>
        <w:rPr>
          <w:rFonts w:ascii="Cambria" w:cs="Cambria" w:eastAsia="Cambria" w:hAnsi="Cambria"/>
          <w:b/>
          <w:bCs/>
          <w:sz w:val="22"/>
          <w:szCs w:val="22"/>
        </w:rPr>
        <w:t xml:space="preserve">Validation: </w:t>
      </w:r>
      <w:r>
        <w:rPr>
          <w:rFonts w:ascii="Cambria" w:cs="Cambria" w:eastAsia="Cambria" w:hAnsi="Cambria"/>
          <w:sz w:val="22"/>
          <w:szCs w:val="22"/>
        </w:rPr>
        <w:t xml:space="preserve">Run clustering on random-baseline α's. Random weights should show NO meaningful clustering. If they do, the methodology finds noise.</w:t>
      </w:r>
    </w:p>
    <w:p>
      <w:pPr>
        <w:pStyle w:val="Heading3"/>
        <w:spacing w:before="240" w:after="120"/>
      </w:pPr>
      <w:r>
        <w:rPr>
          <w:rFonts w:ascii="Cambria" w:cs="Cambria" w:eastAsia="Cambria" w:hAnsi="Cambria"/>
          <w:b/>
          <w:bCs/>
          <w:color w:val="117A65"/>
          <w:sz w:val="22"/>
          <w:szCs w:val="22"/>
        </w:rPr>
        <w:t xml:space="preserve">SAE Feature Connection</w:t>
      </w:r>
    </w:p>
    <w:p>
      <w:pPr>
        <w:spacing w:after="120" w:line="300"/>
      </w:pPr>
      <w:r>
        <w:rPr>
          <w:rFonts w:ascii="Cambria" w:cs="Cambria" w:eastAsia="Cambria" w:hAnsi="Cambria"/>
          <w:b/>
          <w:bCs/>
          <w:sz w:val="22"/>
          <w:szCs w:val="22"/>
        </w:rPr>
        <w:t xml:space="preserve">Approach 1 (Correlation): </w:t>
      </w:r>
      <w:r>
        <w:rPr>
          <w:rFonts w:ascii="Cambria" w:cs="Cambria" w:eastAsia="Cambria" w:hAnsi="Cambria"/>
          <w:sz w:val="22"/>
          <w:szCs w:val="22"/>
        </w:rPr>
        <w:t xml:space="preserve">For each GemmaScope SAE feature f, compute correlation between feature activation a_f and mean oracle-α weight α_i across matched token positions. Use Spearman rank correlation.</w:t>
      </w:r>
    </w:p>
    <w:p>
      <w:pPr>
        <w:spacing w:after="120" w:line="300"/>
      </w:pPr>
      <w:r>
        <w:rPr>
          <w:rFonts w:ascii="Cambria" w:cs="Cambria" w:eastAsia="Cambria" w:hAnsi="Cambria"/>
          <w:b/>
          <w:bCs/>
          <w:sz w:val="22"/>
          <w:szCs w:val="22"/>
        </w:rPr>
        <w:t xml:space="preserve">Approach 2 (Conditional): </w:t>
      </w:r>
      <w:r>
        <w:rPr>
          <w:rFonts w:ascii="Cambria" w:cs="Cambria" w:eastAsia="Cambria" w:hAnsi="Cambria"/>
          <w:sz w:val="22"/>
          <w:szCs w:val="22"/>
        </w:rPr>
        <w:t xml:space="preserve">Split tokens by α cluster membership. For each cluster, compute average SAE feature activation profile. Test whether clusters differ (Mann-Whitney U on continuous activations).</w:t>
      </w:r>
    </w:p>
    <w:p>
      <w:pPr>
        <w:spacing w:after="120" w:line="300"/>
      </w:pPr>
      <w:r>
        <w:rPr>
          <w:rFonts w:ascii="Cambria" w:cs="Cambria" w:eastAsia="Cambria" w:hAnsi="Cambria"/>
          <w:b/>
          <w:bCs/>
          <w:sz w:val="22"/>
          <w:szCs w:val="22"/>
        </w:rPr>
        <w:t xml:space="preserve">Validation: </w:t>
      </w:r>
      <w:r>
        <w:rPr>
          <w:rFonts w:ascii="Cambria" w:cs="Cambria" w:eastAsia="Cambria" w:hAnsi="Cambria"/>
          <w:sz w:val="22"/>
          <w:szCs w:val="22"/>
        </w:rPr>
        <w:t xml:space="preserve">Top-correlated SAE features for each routing cluster should have interpretable descriptions on Neuronpedia.</w:t>
      </w:r>
    </w:p>
    <w:p>
      <w:pPr>
        <w:pStyle w:val="Heading1"/>
        <w:spacing w:before="360" w:after="200"/>
      </w:pPr>
      <w:r>
        <w:rPr>
          <w:rFonts w:ascii="Cambria" w:cs="Cambria" w:eastAsia="Cambria" w:hAnsi="Cambria"/>
          <w:b/>
          <w:bCs/>
          <w:color w:val="1B4F72"/>
          <w:sz w:val="32"/>
          <w:szCs w:val="32"/>
        </w:rPr>
        <w:t xml:space="preserve">12. Figure 8 Predictions: Quantitative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Prediction</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Metric</w:t>
            </w:r>
          </w:p>
        </w:tc>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Test</w:t>
            </w:r>
          </w:p>
        </w:tc>
        <w:tc>
          <w:tcPr>
            <w:tcW w:type="dxa" w:w="2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Null Hypothesis</w:t>
            </w:r>
          </w:p>
        </w:tc>
      </w:tr>
      <w:tr>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Diagonal dominance</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Fraction of α* on source l-1</w:t>
            </w:r>
          </w:p>
        </w:tc>
        <w:tc>
          <w:tcPr>
            <w:tcW w:type="dxa" w:w="2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Locality score &gt; 1/L</w:t>
            </w:r>
          </w:p>
        </w:tc>
        <w:tc>
          <w:tcPr>
            <w:tcW w:type="dxa" w:w="2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Random: expected locality = 1/L</w:t>
            </w:r>
          </w:p>
        </w:tc>
      </w:tr>
      <w:tr>
        <w:tc>
          <w:tcPr>
            <w:tcW w:type="dxa" w:w="20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Embedding persistence</w:t>
            </w:r>
          </w:p>
        </w:tc>
        <w:tc>
          <w:tcPr>
            <w:tcW w:type="dxa" w:w="2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α*_{0→l} vs. layer depth</w:t>
            </w:r>
          </w:p>
        </w:tc>
        <w:tc>
          <w:tcPr>
            <w:tcW w:type="dxa" w:w="24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Above-uniform weight at layers &gt; L/2</w:t>
            </w:r>
          </w:p>
        </w:tc>
        <w:tc>
          <w:tcPr>
            <w:tcW w:type="dxa" w:w="27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Uniform: α_0 = 1/L everywhere</w:t>
            </w:r>
          </w:p>
        </w:tc>
      </w:tr>
      <w:tr>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Layer-type specialization</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Entropy(α*) for pre-attn vs. pre-MLP</w:t>
            </w:r>
          </w:p>
        </w:tc>
        <w:tc>
          <w:tcPr>
            <w:tcW w:type="dxa" w:w="2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Entropy(pre-attn) &gt; Entropy(pre-MLP)</w:t>
            </w:r>
          </w:p>
        </w:tc>
        <w:tc>
          <w:tcPr>
            <w:tcW w:type="dxa" w:w="2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No difference between layer types</w:t>
            </w:r>
          </w:p>
        </w:tc>
      </w:tr>
      <w:tr>
        <w:tc>
          <w:tcPr>
            <w:tcW w:type="dxa" w:w="20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Learned skip connections</w:t>
            </w:r>
          </w:p>
        </w:tc>
        <w:tc>
          <w:tcPr>
            <w:tcW w:type="dxa" w:w="2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Off-diagonal peaks: α* &gt; 2/L and i ≠ l-1</w:t>
            </w:r>
          </w:p>
        </w:tc>
        <w:tc>
          <w:tcPr>
            <w:tcW w:type="dxa" w:w="24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Consistent across &gt;50% of tokens = structural</w:t>
            </w:r>
          </w:p>
        </w:tc>
        <w:tc>
          <w:tcPr>
            <w:tcW w:type="dxa" w:w="27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No consistent off-diagonal peaks</w:t>
            </w:r>
          </w:p>
        </w:tc>
      </w:tr>
    </w:tbl>
    <w:p>
      <w:pPr>
        <w:pBdr>
          <w:left w:val="single" w:color="922B21" w:sz="8" w:space="8"/>
        </w:pBdr>
        <w:shd w:fill="FDEDEC" w:val="clear"/>
        <w:spacing w:before="160" w:after="40"/>
        <w:ind w:left="200" w:right="200"/>
      </w:pPr>
      <w:r>
        <w:rPr>
          <w:rFonts w:ascii="Cambria" w:cs="Cambria" w:eastAsia="Cambria" w:hAnsi="Cambria"/>
          <w:b/>
          <w:bCs/>
          <w:color w:val="922B21"/>
          <w:sz w:val="20"/>
          <w:szCs w:val="20"/>
        </w:rPr>
        <w:t xml:space="preserve">IMPORTANT</w:t>
      </w:r>
    </w:p>
    <w:p>
      <w:pPr>
        <w:pBdr>
          <w:left w:val="single" w:color="922B21" w:sz="8" w:space="8"/>
        </w:pBdr>
        <w:shd w:fill="FDEDEC" w:val="clear"/>
        <w:spacing w:after="160"/>
        <w:ind w:left="200" w:right="200"/>
      </w:pPr>
      <w:r>
        <w:rPr>
          <w:rFonts w:ascii="Cambria" w:cs="Cambria" w:eastAsia="Cambria" w:hAnsi="Cambria"/>
          <w:color w:val="2C3E50"/>
          <w:sz w:val="20"/>
          <w:szCs w:val="20"/>
        </w:rPr>
        <w:t xml:space="preserve">Define all tests BEFORE looking at results. This prevents cherry-picking visual similarities between heatmaps and Figure 8.</w:t>
      </w:r>
    </w:p>
    <w:p>
      <w:pPr>
        <w:pStyle w:val="Heading1"/>
        <w:spacing w:before="360" w:after="200"/>
      </w:pPr>
      <w:r>
        <w:rPr>
          <w:rFonts w:ascii="Cambria" w:cs="Cambria" w:eastAsia="Cambria" w:hAnsi="Cambria"/>
          <w:b/>
          <w:bCs/>
          <w:color w:val="1B4F72"/>
          <w:sz w:val="32"/>
          <w:szCs w:val="32"/>
        </w:rPr>
        <w:t xml:space="preserve">13. Comparison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Regime</w:t>
            </w:r>
          </w:p>
        </w:tc>
        <w:tc>
          <w:tcPr>
            <w:tcW w:type="dxa" w:w="3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Constraint</w:t>
            </w:r>
          </w:p>
        </w:tc>
        <w:tc>
          <w:tcPr>
            <w:tcW w:type="dxa" w:w="3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What It Tests</w:t>
            </w:r>
          </w:p>
        </w:tc>
      </w:tr>
      <w:tr>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Unconstrained</w:t>
            </w:r>
          </w:p>
        </w:tc>
        <w:tc>
          <w:tcPr>
            <w:tcW w:type="dxa" w:w="3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α ∈ ℝ^L (sigmoid, no sum-to-1)</w:t>
            </w:r>
          </w:p>
        </w:tc>
        <w:tc>
          <w:tcPr>
            <w:tcW w:type="dxa" w:w="3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Whether any reweighting helps vs. structured reweighting</w:t>
            </w:r>
          </w:p>
        </w:tc>
      </w:tr>
      <w:tr>
        <w:tc>
          <w:tcPr>
            <w:tcW w:type="dxa" w:w="2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Softmax (AttnRes)</w:t>
            </w:r>
          </w:p>
        </w:tc>
        <w:tc>
          <w:tcPr>
            <w:tcW w:type="dxa" w:w="34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α = softmax(z), sum to 1</w:t>
            </w:r>
          </w:p>
        </w:tc>
        <w:tc>
          <w:tcPr>
            <w:tcW w:type="dxa" w:w="37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Competition between layers: zero-sum allocation</w:t>
            </w:r>
          </w:p>
        </w:tc>
      </w:tr>
      <w:tr>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Top-k sparse</w:t>
            </w:r>
          </w:p>
        </w:tc>
        <w:tc>
          <w:tcPr>
            <w:tcW w:type="dxa" w:w="3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α = softmax(top_k(z)), k ∈ {2,4,8}</w:t>
            </w:r>
          </w:p>
        </w:tc>
        <w:tc>
          <w:tcPr>
            <w:tcW w:type="dxa" w:w="3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Sparsity of routing: how many layers actually matter</w:t>
            </w:r>
          </w:p>
        </w:tc>
      </w:tr>
    </w:tbl>
    <w:p>
      <w:pPr>
        <w:spacing w:after="120" w:line="300"/>
      </w:pPr>
      <w:r>
        <w:rPr>
          <w:rFonts w:ascii="Cambria" w:cs="Cambria" w:eastAsia="Cambria" w:hAnsi="Cambria"/>
          <w:sz w:val="22"/>
          <w:szCs w:val="22"/>
        </w:rPr>
        <w:t xml:space="preserve"/>
      </w:r>
    </w:p>
    <w:p>
      <w:pPr>
        <w:pBdr>
          <w:left w:val="single" w:color="117A65" w:sz="8" w:space="8"/>
        </w:pBdr>
        <w:shd w:fill="E8F8F5" w:val="clear"/>
        <w:spacing w:before="160" w:after="40"/>
        <w:ind w:left="200" w:right="200"/>
      </w:pPr>
      <w:r>
        <w:rPr>
          <w:rFonts w:ascii="Cambria" w:cs="Cambria" w:eastAsia="Cambria" w:hAnsi="Cambria"/>
          <w:b/>
          <w:bCs/>
          <w:color w:val="117A65"/>
          <w:sz w:val="20"/>
          <w:szCs w:val="20"/>
        </w:rPr>
        <w:t xml:space="preserve">KEY TEST</w:t>
      </w:r>
    </w:p>
    <w:p>
      <w:pPr>
        <w:pBdr>
          <w:left w:val="single" w:color="117A65" w:sz="8" w:space="8"/>
        </w:pBdr>
        <w:shd w:fill="E8F8F5" w:val="clear"/>
        <w:spacing w:after="160"/>
        <w:ind w:left="200" w:right="200"/>
      </w:pPr>
      <w:r>
        <w:rPr>
          <w:rFonts w:ascii="Cambria" w:cs="Cambria" w:eastAsia="Cambria" w:hAnsi="Cambria"/>
          <w:color w:val="2C3E50"/>
          <w:sz w:val="20"/>
          <w:szCs w:val="20"/>
        </w:rPr>
        <w:t xml:space="preserve">If softmax-constrained routing outperforms unconstrained, that validates the AttnRes design: competition (zero-sum attention over depth) is better than independence (each layer gated freely). This explains why softmax beats sigmoid in Table 4.</w:t>
      </w:r>
    </w:p>
    <w:p>
      <w:pPr>
        <w:pStyle w:val="Heading1"/>
        <w:spacing w:before="360" w:after="200"/>
      </w:pPr>
      <w:r>
        <w:rPr>
          <w:rFonts w:ascii="Cambria" w:cs="Cambria" w:eastAsia="Cambria" w:hAnsi="Cambria"/>
          <w:b/>
          <w:bCs/>
          <w:color w:val="1B4F72"/>
          <w:sz w:val="32"/>
          <w:szCs w:val="32"/>
        </w:rPr>
        <w:t xml:space="preserve">14. Tool Breakage Demonstration</w:t>
      </w:r>
    </w:p>
    <w:p>
      <w:pPr>
        <w:spacing w:after="120" w:line="300"/>
      </w:pPr>
      <w:r>
        <w:rPr>
          <w:rFonts w:ascii="Cambria" w:cs="Cambria" w:eastAsia="Cambria" w:hAnsi="Cambria"/>
          <w:sz w:val="22"/>
          <w:szCs w:val="22"/>
        </w:rPr>
        <w:t xml:space="preserve">Take a known circuit (factual recall on Gemma-2-2B, documented via GemmaScope and circuit-tracer). Run standard logit lens, showing smooth monotonic progression of P(correct_token) across layers. Then reweight using oracle-α and show non-monotonic progression: predictions appearing, disappearing, and reappearing.</w:t>
      </w:r>
    </w:p>
    <w:p>
      <w:pPr>
        <w:spacing w:after="120" w:line="300"/>
      </w:pPr>
      <w:r>
        <w:rPr>
          <w:rFonts w:ascii="Cambria" w:cs="Cambria" w:eastAsia="Cambria" w:hAnsi="Cambria"/>
          <w:b/>
          <w:bCs/>
          <w:sz w:val="22"/>
          <w:szCs w:val="22"/>
        </w:rPr>
        <w:t xml:space="preserve">The visualization: </w:t>
      </w:r>
      <w:r>
        <w:rPr>
          <w:rFonts w:ascii="Cambria" w:cs="Cambria" w:eastAsia="Cambria" w:hAnsi="Cambria"/>
          <w:sz w:val="22"/>
          <w:szCs w:val="22"/>
        </w:rPr>
        <w:t xml:space="preserve">Line plot with layer depth on X-axis and P(correct_token) on Y-axis. Two lines: uniform (smooth) vs. oracle-α reweighted (non-monotonic). This is the single most visually compelling figure.</w:t>
      </w:r>
    </w:p>
    <w:p>
      <w:pPr>
        <w:spacing w:after="120" w:line="300"/>
      </w:pPr>
      <w:r>
        <w:rPr>
          <w:rFonts w:ascii="Cambria" w:cs="Cambria" w:eastAsia="Cambria" w:hAnsi="Cambria"/>
          <w:b/>
          <w:bCs/>
          <w:sz w:val="22"/>
          <w:szCs w:val="22"/>
        </w:rPr>
        <w:t xml:space="preserve">Risk: </w:t>
      </w:r>
      <w:r>
        <w:rPr>
          <w:rFonts w:ascii="Cambria" w:cs="Cambria" w:eastAsia="Cambria" w:hAnsi="Cambria"/>
          <w:sz w:val="22"/>
          <w:szCs w:val="22"/>
        </w:rPr>
        <w:t xml:space="preserve">If oracle-α also produces monotonic curves, the 'tools break' claim is weakened. Test on 50+ prompts before committing.</w:t>
      </w:r>
    </w:p>
    <w:p>
      <w:pPr>
        <w:pStyle w:val="Heading1"/>
        <w:spacing w:before="360" w:after="200"/>
      </w:pPr>
      <w:r>
        <w:rPr>
          <w:rFonts w:ascii="Cambria" w:cs="Cambria" w:eastAsia="Cambria" w:hAnsi="Cambria"/>
          <w:b/>
          <w:bCs/>
          <w:color w:val="1B4F72"/>
          <w:sz w:val="32"/>
          <w:szCs w:val="32"/>
        </w:rPr>
        <w:t xml:space="preserve">15. Router Training Strategy</w:t>
      </w:r>
    </w:p>
    <w:p>
      <w:pPr>
        <w:spacing w:after="120" w:line="300"/>
      </w:pPr>
      <w:r>
        <w:rPr>
          <w:rFonts w:ascii="Cambria" w:cs="Cambria" w:eastAsia="Cambria" w:hAnsi="Cambria"/>
          <w:b/>
          <w:bCs/>
          <w:sz w:val="22"/>
          <w:szCs w:val="22"/>
        </w:rPr>
        <w:t xml:space="preserve">Architecture: </w:t>
      </w:r>
      <w:r>
        <w:rPr>
          <w:rFonts w:ascii="Cambria" w:cs="Cambria" w:eastAsia="Cambria" w:hAnsi="Cambria"/>
          <w:sz w:val="22"/>
          <w:szCs w:val="22"/>
        </w:rPr>
        <w:t xml:space="preserve">Freeze Gemma-2-2B. Train a 2-layer MLP on h_1 (embedding) that predicts α weights for the final layer.</w:t>
      </w:r>
    </w:p>
    <w:p>
      <w:pPr>
        <w:spacing w:after="120" w:line="300"/>
      </w:pPr>
      <w:r>
        <w:rPr>
          <w:rFonts w:ascii="Cambria" w:cs="Cambria" w:eastAsia="Cambria" w:hAnsi="Cambria"/>
          <w:b/>
          <w:bCs/>
          <w:sz w:val="22"/>
          <w:szCs w:val="22"/>
        </w:rPr>
        <w:t xml:space="preserve">Training objective: </w:t>
      </w:r>
      <w:r>
        <w:rPr>
          <w:rFonts w:ascii="Cambria" w:cs="Cambria" w:eastAsia="Cambria" w:hAnsi="Cambria"/>
          <w:sz w:val="22"/>
          <w:szCs w:val="22"/>
        </w:rPr>
        <w:t xml:space="preserve">Phase 1: Distillation from oracle-α* (MSE loss, fast convergence). Phase 2: End-to-end language modeling loss (refines for actual objective). Compare both to measure the co-adaptation gap.</w:t>
      </w:r>
    </w:p>
    <w:p>
      <w:pPr>
        <w:spacing w:after="120" w:line="300"/>
      </w:pPr>
      <w:r>
        <w:rPr>
          <w:rFonts w:ascii="Cambria" w:cs="Cambria" w:eastAsia="Cambria" w:hAnsi="Cambria"/>
          <w:b/>
          <w:bCs/>
          <w:sz w:val="22"/>
          <w:szCs w:val="22"/>
        </w:rPr>
        <w:t xml:space="preserve">Analysis: </w:t>
      </w:r>
      <w:r>
        <w:rPr>
          <w:rFonts w:ascii="Cambria" w:cs="Cambria" w:eastAsia="Cambria" w:hAnsi="Cambria"/>
          <w:sz w:val="22"/>
          <w:szCs w:val="22"/>
        </w:rPr>
        <w:t xml:space="preserve">Extract the router's learned weight matrices. These are the w_l analog. Compute cosine similarity structure, PCA projection, and correlation with layer-function hypotheses.</w:t>
      </w:r>
    </w:p>
    <w:p>
      <w:r>
        <w:br w:type="page"/>
      </w:r>
    </w:p>
    <w:p>
      <w:pPr>
        <w:spacing w:before="200" w:after="300"/>
        <w:jc w:val="center"/>
      </w:pPr>
      <w:r>
        <w:rPr>
          <w:rFonts w:ascii="Cambria" w:cs="Cambria" w:eastAsia="Cambria" w:hAnsi="Cambria"/>
          <w:b/>
          <w:bCs/>
          <w:color w:val="1B4F72"/>
          <w:sz w:val="28"/>
          <w:szCs w:val="28"/>
        </w:rPr>
        <w:t xml:space="preserve">PART IV: EXECUTION</w:t>
      </w:r>
    </w:p>
    <w:p>
      <w:pPr>
        <w:pStyle w:val="Heading1"/>
        <w:spacing w:before="360" w:after="200"/>
      </w:pPr>
      <w:r>
        <w:rPr>
          <w:rFonts w:ascii="Cambria" w:cs="Cambria" w:eastAsia="Cambria" w:hAnsi="Cambria"/>
          <w:b/>
          <w:bCs/>
          <w:color w:val="1B4F72"/>
          <w:sz w:val="32"/>
          <w:szCs w:val="32"/>
        </w:rPr>
        <w:t xml:space="preserve">16. Hardware and Tooling Assessment</w:t>
      </w:r>
    </w:p>
    <w:p>
      <w:pPr>
        <w:spacing w:after="120" w:line="300"/>
      </w:pPr>
      <w:r>
        <w:rPr>
          <w:rFonts w:ascii="Cambria" w:cs="Cambria" w:eastAsia="Cambria" w:hAnsi="Cambria"/>
          <w:b/>
          <w:bCs/>
          <w:sz w:val="22"/>
          <w:szCs w:val="22"/>
        </w:rPr>
        <w:t xml:space="preserve">Hardware: </w:t>
      </w:r>
      <w:r>
        <w:rPr>
          <w:rFonts w:ascii="Cambria" w:cs="Cambria" w:eastAsia="Cambria" w:hAnsi="Cambria"/>
          <w:sz w:val="22"/>
          <w:szCs w:val="22"/>
        </w:rPr>
        <w:t xml:space="preserve">M4 MacBook Pro, 128GB unified RAM. Memory is abundant; compute is the bottleneck (~18 TFLOPS). Every target model fits with massive headroom.</w:t>
      </w:r>
    </w:p>
    <w:p>
      <w:pPr>
        <w:pStyle w:val="Heading3"/>
        <w:spacing w:before="240" w:after="120"/>
      </w:pPr>
      <w:r>
        <w:rPr>
          <w:rFonts w:ascii="Cambria" w:cs="Cambria" w:eastAsia="Cambria" w:hAnsi="Cambria"/>
          <w:b/>
          <w:bCs/>
          <w:color w:val="117A65"/>
          <w:sz w:val="22"/>
          <w:szCs w:val="22"/>
        </w:rPr>
        <w:t xml:space="preserve">Model Memory Budget (weights + full activation cache at S=1024)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600"/>
        <w:gridCol w:w="1400"/>
        <w:gridCol w:w="11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Model</w:t>
            </w:r>
          </w:p>
        </w:tc>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Layers × Hidden</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Weights (fp16)</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Cache (fp32)</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Total</w:t>
            </w:r>
          </w:p>
        </w:tc>
        <w:tc>
          <w:tcPr>
            <w:tcW w:type="dxa" w:w="1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Free RAM</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Gemma-2-2B</w:t>
            </w:r>
          </w:p>
        </w:tc>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26 × 2304</w:t>
            </w:r>
          </w:p>
        </w:tc>
        <w:tc>
          <w:tcPr>
            <w:tcW w:type="dxa" w:w="1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5.2 GB</w:t>
            </w:r>
          </w:p>
        </w:tc>
        <w:tc>
          <w:tcPr>
            <w:tcW w:type="dxa" w:w="1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234 MB</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~5.4 GB</w:t>
            </w:r>
          </w:p>
        </w:tc>
        <w:tc>
          <w:tcPr>
            <w:tcW w:type="dxa" w:w="11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122 GB</w:t>
            </w:r>
          </w:p>
        </w:tc>
      </w:tr>
      <w:tr>
        <w:tc>
          <w:tcPr>
            <w:tcW w:type="dxa" w:w="18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GPT-2 XL</w:t>
            </w:r>
          </w:p>
        </w:tc>
        <w:tc>
          <w:tcPr>
            <w:tcW w:type="dxa" w:w="18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48 × 1600</w:t>
            </w:r>
          </w:p>
        </w:tc>
        <w:tc>
          <w:tcPr>
            <w:tcW w:type="dxa" w:w="1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3.1 GB</w:t>
            </w:r>
          </w:p>
        </w:tc>
        <w:tc>
          <w:tcPr>
            <w:tcW w:type="dxa" w:w="1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150 MB</w:t>
            </w:r>
          </w:p>
        </w:tc>
        <w:tc>
          <w:tcPr>
            <w:tcW w:type="dxa" w:w="14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~3.3 GB</w:t>
            </w:r>
          </w:p>
        </w:tc>
        <w:tc>
          <w:tcPr>
            <w:tcW w:type="dxa" w:w="11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125 GB</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Pythia-2.8B</w:t>
            </w:r>
          </w:p>
        </w:tc>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32 × 2560</w:t>
            </w:r>
          </w:p>
        </w:tc>
        <w:tc>
          <w:tcPr>
            <w:tcW w:type="dxa" w:w="1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5.6 GB</w:t>
            </w:r>
          </w:p>
        </w:tc>
        <w:tc>
          <w:tcPr>
            <w:tcW w:type="dxa" w:w="1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320 MB</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~5.9 GB</w:t>
            </w:r>
          </w:p>
        </w:tc>
        <w:tc>
          <w:tcPr>
            <w:tcW w:type="dxa" w:w="11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122 GB</w:t>
            </w:r>
          </w:p>
        </w:tc>
      </w:tr>
      <w:tr>
        <w:tc>
          <w:tcPr>
            <w:tcW w:type="dxa" w:w="18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Llama-3.1-8B</w:t>
            </w:r>
          </w:p>
        </w:tc>
        <w:tc>
          <w:tcPr>
            <w:tcW w:type="dxa" w:w="18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32 × 4096</w:t>
            </w:r>
          </w:p>
        </w:tc>
        <w:tc>
          <w:tcPr>
            <w:tcW w:type="dxa" w:w="1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16.0 GB</w:t>
            </w:r>
          </w:p>
        </w:tc>
        <w:tc>
          <w:tcPr>
            <w:tcW w:type="dxa" w:w="1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512 MB</w:t>
            </w:r>
          </w:p>
        </w:tc>
        <w:tc>
          <w:tcPr>
            <w:tcW w:type="dxa" w:w="14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~16.5 GB</w:t>
            </w:r>
          </w:p>
        </w:tc>
        <w:tc>
          <w:tcPr>
            <w:tcW w:type="dxa" w:w="11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112 GB</w:t>
            </w:r>
          </w:p>
        </w:tc>
      </w:tr>
    </w:tbl>
    <w:p>
      <w:pPr>
        <w:pStyle w:val="Heading3"/>
        <w:spacing w:before="240" w:after="120"/>
      </w:pPr>
      <w:r>
        <w:rPr>
          <w:rFonts w:ascii="Cambria" w:cs="Cambria" w:eastAsia="Cambria" w:hAnsi="Cambria"/>
          <w:b/>
          <w:bCs/>
          <w:color w:val="117A65"/>
          <w:sz w:val="22"/>
          <w:szCs w:val="22"/>
        </w:rPr>
        <w:t xml:space="preserve">Tooling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39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Tool</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MPS Status</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Best For</w:t>
            </w:r>
          </w:p>
        </w:tc>
        <w:tc>
          <w:tcPr>
            <w:tcW w:type="dxa" w:w="39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Notes</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TransformerLens</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 Works</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Activation caching, hooks</w:t>
            </w:r>
          </w:p>
        </w:tc>
        <w:tc>
          <w:tcPr>
            <w:tcW w:type="dxa" w:w="39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Use fp32, set PYTORCH_ENABLE_MPS_FALLBACK=1</w:t>
            </w:r>
          </w:p>
        </w:tc>
      </w:tr>
      <w:tr>
        <w:tc>
          <w:tcPr>
            <w:tcW w:type="dxa" w:w="18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NNsight</w:t>
            </w:r>
          </w:p>
        </w:tc>
        <w:tc>
          <w:tcPr>
            <w:tcW w:type="dxa" w:w="14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 Confirmed</w:t>
            </w:r>
          </w:p>
        </w:tc>
        <w:tc>
          <w:tcPr>
            <w:tcW w:type="dxa" w:w="2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Flexible interventions</w:t>
            </w:r>
          </w:p>
        </w:tc>
        <w:tc>
          <w:tcPr>
            <w:tcW w:type="dxa" w:w="39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device='mps:0' documented</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SAELens</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 Works</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SAE loading/training</w:t>
            </w:r>
          </w:p>
        </w:tc>
        <w:tc>
          <w:tcPr>
            <w:tcW w:type="dxa" w:w="39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Requires PyTorch ≥2.4 (Adam MPS fix)</w:t>
            </w:r>
          </w:p>
        </w:tc>
      </w:tr>
      <w:tr>
        <w:tc>
          <w:tcPr>
            <w:tcW w:type="dxa" w:w="18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circuit-tracer</w:t>
            </w:r>
          </w:p>
        </w:tc>
        <w:tc>
          <w:tcPr>
            <w:tcW w:type="dxa" w:w="14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 Partial</w:t>
            </w:r>
          </w:p>
        </w:tc>
        <w:tc>
          <w:tcPr>
            <w:tcW w:type="dxa" w:w="2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Attribution graphs</w:t>
            </w:r>
          </w:p>
        </w:tc>
        <w:tc>
          <w:tcPr>
            <w:tcW w:type="dxa" w:w="39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Supports Gemma-2-2B, Llama-3.2-1B</w:t>
            </w:r>
          </w:p>
        </w:tc>
      </w:tr>
      <w:tr>
        <w:tc>
          <w:tcPr>
            <w:tcW w:type="dxa" w:w="1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baukit/pyvene</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 Works</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Interventions</w:t>
            </w:r>
          </w:p>
        </w:tc>
        <w:tc>
          <w:tcPr>
            <w:tcW w:type="dxa" w:w="39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Device-agnostic PyTorch hooks</w:t>
            </w:r>
          </w:p>
        </w:tc>
      </w:tr>
    </w:tbl>
    <w:p>
      <w:pPr>
        <w:pStyle w:val="Heading1"/>
        <w:spacing w:before="360" w:after="200"/>
      </w:pPr>
      <w:r>
        <w:rPr>
          <w:rFonts w:ascii="Cambria" w:cs="Cambria" w:eastAsia="Cambria" w:hAnsi="Cambria"/>
          <w:b/>
          <w:bCs/>
          <w:color w:val="1B4F72"/>
          <w:sz w:val="32"/>
          <w:szCs w:val="32"/>
        </w:rPr>
        <w:t xml:space="preserve">17. Model Selection</w:t>
      </w:r>
    </w:p>
    <w:p>
      <w:pPr>
        <w:spacing w:after="120" w:line="300"/>
      </w:pPr>
      <w:r>
        <w:rPr>
          <w:rFonts w:ascii="Cambria" w:cs="Cambria" w:eastAsia="Cambria" w:hAnsi="Cambria"/>
          <w:b/>
          <w:bCs/>
          <w:sz w:val="22"/>
          <w:szCs w:val="22"/>
        </w:rPr>
        <w:t xml:space="preserve">Primary: Gemma-2-2B. </w:t>
      </w:r>
      <w:r>
        <w:rPr>
          <w:rFonts w:ascii="Cambria" w:cs="Cambria" w:eastAsia="Cambria" w:hAnsi="Cambria"/>
          <w:sz w:val="22"/>
          <w:szCs w:val="22"/>
        </w:rPr>
        <w:t xml:space="preserve">Richest SAE ecosystem (GemmaScope: all layers, all sublayers, multiple widths). Circuit-tracer support. 26 layers with alternating sliding-window/global attention creates non-trivial routing questions.</w:t>
      </w:r>
    </w:p>
    <w:p>
      <w:pPr>
        <w:spacing w:after="120" w:line="300"/>
      </w:pPr>
      <w:r>
        <w:rPr>
          <w:rFonts w:ascii="Cambria" w:cs="Cambria" w:eastAsia="Cambria" w:hAnsi="Cambria"/>
          <w:b/>
          <w:bCs/>
          <w:sz w:val="22"/>
          <w:szCs w:val="22"/>
        </w:rPr>
        <w:t xml:space="preserve">Development: GPT-2 XL. </w:t>
      </w:r>
      <w:r>
        <w:rPr>
          <w:rFonts w:ascii="Cambria" w:cs="Cambria" w:eastAsia="Cambria" w:hAnsi="Cambria"/>
          <w:sz w:val="22"/>
          <w:szCs w:val="22"/>
        </w:rPr>
        <w:t xml:space="preserve">48 layers (deepest option). Gold-standard TransformerLens support. Fastest iteration for prototyping.</w:t>
      </w:r>
    </w:p>
    <w:p>
      <w:pPr>
        <w:spacing w:after="120" w:line="300"/>
      </w:pPr>
      <w:r>
        <w:rPr>
          <w:rFonts w:ascii="Cambria" w:cs="Cambria" w:eastAsia="Cambria" w:hAnsi="Cambria"/>
          <w:b/>
          <w:bCs/>
          <w:sz w:val="22"/>
          <w:szCs w:val="22"/>
        </w:rPr>
        <w:t xml:space="preserve">Extension: Pythia-2.8B. </w:t>
      </w:r>
      <w:r>
        <w:rPr>
          <w:rFonts w:ascii="Cambria" w:cs="Cambria" w:eastAsia="Cambria" w:hAnsi="Cambria"/>
          <w:sz w:val="22"/>
          <w:szCs w:val="22"/>
        </w:rPr>
        <w:t xml:space="preserve">154 training checkpoints enable studying how routing patterns evolve during training. Designed for interpretability research.</w:t>
      </w:r>
    </w:p>
    <w:p>
      <w:pPr>
        <w:pBdr>
          <w:left w:val="single" w:color="922B21" w:sz="8" w:space="8"/>
        </w:pBdr>
        <w:shd w:fill="FDEDEC" w:val="clear"/>
        <w:spacing w:before="160" w:after="40"/>
        <w:ind w:left="200" w:right="200"/>
      </w:pPr>
      <w:r>
        <w:rPr>
          <w:rFonts w:ascii="Cambria" w:cs="Cambria" w:eastAsia="Cambria" w:hAnsi="Cambria"/>
          <w:b/>
          <w:bCs/>
          <w:color w:val="922B21"/>
          <w:sz w:val="20"/>
          <w:szCs w:val="20"/>
        </w:rPr>
        <w:t xml:space="preserve">MODEL WEIGHTS AVAILABILITY</w:t>
      </w:r>
    </w:p>
    <w:p>
      <w:pPr>
        <w:pBdr>
          <w:left w:val="single" w:color="922B21" w:sz="8" w:space="8"/>
        </w:pBdr>
        <w:shd w:fill="FDEDEC" w:val="clear"/>
        <w:spacing w:after="160"/>
        <w:ind w:left="200" w:right="200"/>
      </w:pPr>
      <w:r>
        <w:rPr>
          <w:rFonts w:ascii="Cambria" w:cs="Cambria" w:eastAsia="Cambria" w:hAnsi="Cambria"/>
          <w:color w:val="2C3E50"/>
          <w:sz w:val="20"/>
          <w:szCs w:val="20"/>
        </w:rPr>
        <w:t xml:space="preserve">MoonshotAI has NOT released any pre-trained AttnRes model weights. The GitHub repo contains only the paper PDF and pseudocode. No scaling law checkpoints, no 48B model weights, no third-party reproductions exist as of March 16, 2026. The Kimi Linear models on HuggingFace are the pre-AttnRes baseline.</w:t>
      </w:r>
    </w:p>
    <w:p>
      <w:r>
        <w:br w:type="page"/>
      </w:r>
    </w:p>
    <w:p>
      <w:pPr>
        <w:pStyle w:val="Heading1"/>
        <w:spacing w:before="360" w:after="200"/>
      </w:pPr>
      <w:r>
        <w:rPr>
          <w:rFonts w:ascii="Cambria" w:cs="Cambria" w:eastAsia="Cambria" w:hAnsi="Cambria"/>
          <w:b/>
          <w:bCs/>
          <w:color w:val="1B4F72"/>
          <w:sz w:val="32"/>
          <w:szCs w:val="32"/>
        </w:rPr>
        <w:t xml:space="preserve">18. Critical Decision Matrix</w:t>
      </w:r>
    </w:p>
    <w:p>
      <w:pPr>
        <w:spacing w:after="120" w:line="300"/>
      </w:pPr>
      <w:r>
        <w:rPr>
          <w:rFonts w:ascii="Cambria" w:cs="Cambria" w:eastAsia="Cambria" w:hAnsi="Cambria"/>
          <w:sz w:val="22"/>
          <w:szCs w:val="22"/>
        </w:rPr>
        <w:t xml:space="preserve">Decisions ranked by blast radius. 🔴 = can void the experiment. 🟡 = degrades quality but recoverable. 🟢 = preference.</w:t>
      </w:r>
    </w:p>
    <w:p>
      <w:pPr>
        <w:pStyle w:val="Heading3"/>
        <w:spacing w:before="240" w:after="120"/>
      </w:pPr>
      <w:r>
        <w:rPr>
          <w:rFonts w:ascii="Cambria" w:cs="Cambria" w:eastAsia="Cambria" w:hAnsi="Cambria"/>
          <w:b/>
          <w:bCs/>
          <w:color w:val="117A65"/>
          <w:sz w:val="22"/>
          <w:szCs w:val="22"/>
        </w:rPr>
        <w:t xml:space="preserve">🔴 Experiment-Ending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Decision</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Wrong Choice</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Consequence</w:t>
            </w:r>
          </w:p>
        </w:tc>
        <w:tc>
          <w:tcPr>
            <w:tcW w:type="dxa" w:w="29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Correct Choice</w:t>
            </w:r>
          </w:p>
        </w:tc>
      </w:tr>
      <w:tr>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Layer output decomposition</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Cache resid_post (1 per block)</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Cannot test layer-type specialization</w:t>
            </w:r>
          </w:p>
        </w:tc>
        <w:tc>
          <w:tcPr>
            <w:tcW w:type="dxa" w:w="29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Cache sublayer outputs (attn + MLP separately)</w:t>
            </w:r>
          </w:p>
        </w:tc>
      </w:tr>
      <w:tr>
        <w:tc>
          <w:tcPr>
            <w:tcW w:type="dxa" w:w="20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LayerNorm interaction</w:t>
            </w:r>
          </w:p>
        </w:tc>
        <w:tc>
          <w:tcPr>
            <w:tcW w:type="dxa" w:w="2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Claim oracle-α = what AttnRes learns</w:t>
            </w:r>
          </w:p>
        </w:tc>
        <w:tc>
          <w:tcPr>
            <w:tcW w:type="dxa" w:w="2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Reviewers reject (co-adaptation argument)</w:t>
            </w:r>
          </w:p>
        </w:tc>
        <w:tc>
          <w:tcPr>
            <w:tcW w:type="dxa" w:w="29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Frame as lower bound; co-adaptation should be larger</w:t>
            </w:r>
          </w:p>
        </w:tc>
      </w:tr>
      <w:tr>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Null baselines</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Compare only to uniform</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'Any perturbation helps' objection</w:t>
            </w:r>
          </w:p>
        </w:tc>
        <w:tc>
          <w:tcPr>
            <w:tcW w:type="dxa" w:w="29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Include random, magnitude-proportional, last-layer-only</w:t>
            </w:r>
          </w:p>
        </w:tc>
      </w:tr>
      <w:tr>
        <w:tc>
          <w:tcPr>
            <w:tcW w:type="dxa" w:w="20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Softmax computation point</w:t>
            </w:r>
          </w:p>
        </w:tc>
        <w:tc>
          <w:tcPr>
            <w:tcW w:type="dxa" w:w="2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Apply LayerNorm at wrong point</w:t>
            </w:r>
          </w:p>
        </w:tc>
        <w:tc>
          <w:tcPr>
            <w:tcW w:type="dxa" w:w="2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Optimization exploits artifacts, not routing</w:t>
            </w:r>
          </w:p>
        </w:tc>
        <w:tc>
          <w:tcPr>
            <w:tcW w:type="dxa" w:w="29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Apply model's own final RMSNorm then W_U</w:t>
            </w:r>
          </w:p>
        </w:tc>
      </w:tr>
      <w:tr>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Validation of decomposition</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Skip verification</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Wrong v_i extraction produces garbage</w:t>
            </w:r>
          </w:p>
        </w:tc>
        <w:tc>
          <w:tcPr>
            <w:tcW w:type="dxa" w:w="29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Verify Σ v_i = h_L (L2 &lt; 1e-5)</w:t>
            </w:r>
          </w:p>
        </w:tc>
      </w:tr>
    </w:tbl>
    <w:p>
      <w:pPr>
        <w:pStyle w:val="Heading3"/>
        <w:spacing w:before="240" w:after="120"/>
      </w:pPr>
      <w:r>
        <w:rPr>
          <w:rFonts w:ascii="Cambria" w:cs="Cambria" w:eastAsia="Cambria" w:hAnsi="Cambria"/>
          <w:b/>
          <w:bCs/>
          <w:color w:val="117A65"/>
          <w:sz w:val="22"/>
          <w:szCs w:val="22"/>
        </w:rPr>
        <w:t xml:space="preserve">🟡 Quality-Degrading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Decision</w:t>
            </w:r>
          </w:p>
        </w:tc>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Recommendation</w:t>
            </w:r>
          </w:p>
        </w:tc>
        <w:tc>
          <w:tcPr>
            <w:tcW w:type="dxa" w:w="39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Rationale</w:t>
            </w:r>
          </w:p>
        </w:tc>
      </w:tr>
      <w:tr>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Sequence length</w:t>
            </w:r>
          </w:p>
        </w:tc>
        <w:tc>
          <w:tcPr>
            <w:tcW w:type="dxa" w:w="3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S=512 development, S=1024 final</w:t>
            </w:r>
          </w:p>
        </w:tc>
        <w:tc>
          <w:tcPr>
            <w:tcW w:type="dxa" w:w="39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Too short misses structure; too long wastes compute</w:t>
            </w:r>
          </w:p>
        </w:tc>
      </w:tr>
      <w:tr>
        <w:tc>
          <w:tcPr>
            <w:tcW w:type="dxa" w:w="2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Corpus composition</w:t>
            </w:r>
          </w:p>
        </w:tc>
        <w:tc>
          <w:tcPr>
            <w:tcW w:type="dxa" w:w="3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Stratified sample: 7+ categories, 500+ sequences each</w:t>
            </w:r>
          </w:p>
        </w:tc>
        <w:tc>
          <w:tcPr>
            <w:tcW w:type="dxa" w:w="39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Single-domain corpus misses task-specific routing</w:t>
            </w:r>
          </w:p>
        </w:tc>
      </w:tr>
      <w:tr>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Clustering metric</w:t>
            </w:r>
          </w:p>
        </w:tc>
        <w:tc>
          <w:tcPr>
            <w:tcW w:type="dxa" w:w="3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JSD primary, cosine as check</w:t>
            </w:r>
          </w:p>
        </w:tc>
        <w:tc>
          <w:tcPr>
            <w:tcW w:type="dxa" w:w="39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α vectors are distributions; JSD is the natural metric</w:t>
            </w:r>
          </w:p>
        </w:tc>
      </w:tr>
      <w:tr>
        <w:tc>
          <w:tcPr>
            <w:tcW w:type="dxa" w:w="2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Statistical reporting</w:t>
            </w:r>
          </w:p>
        </w:tc>
        <w:tc>
          <w:tcPr>
            <w:tcW w:type="dxa" w:w="3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Effect sizes (Cohen's d) + bootstrap CIs, not just p-values</w:t>
            </w:r>
          </w:p>
        </w:tc>
        <w:tc>
          <w:tcPr>
            <w:tcW w:type="dxa" w:w="396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Everything significant at N=500K; need practical significance</w:t>
            </w:r>
          </w:p>
        </w:tc>
      </w:tr>
      <w:tr>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Per-token vs per-sequence</w:t>
            </w:r>
          </w:p>
        </w:tc>
        <w:tc>
          <w:tcPr>
            <w:tcW w:type="dxa" w:w="3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Per-token, then aggregate</w:t>
            </w:r>
          </w:p>
        </w:tc>
        <w:tc>
          <w:tcPr>
            <w:tcW w:type="dxa" w:w="39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Can average down but can't disaggregate up</w:t>
            </w:r>
          </w:p>
        </w:tc>
      </w:tr>
    </w:tbl>
    <w:p>
      <w:pPr>
        <w:pStyle w:val="Heading1"/>
        <w:spacing w:before="360" w:after="200"/>
      </w:pPr>
      <w:r>
        <w:rPr>
          <w:rFonts w:ascii="Cambria" w:cs="Cambria" w:eastAsia="Cambria" w:hAnsi="Cambria"/>
          <w:b/>
          <w:bCs/>
          <w:color w:val="1B4F72"/>
          <w:sz w:val="32"/>
          <w:szCs w:val="32"/>
        </w:rPr>
        <w:t xml:space="preserve">19. Gap Analysis and Remediation</w:t>
      </w:r>
    </w:p>
    <w:p>
      <w:pPr>
        <w:spacing w:after="120" w:line="300"/>
      </w:pPr>
      <w:r>
        <w:rPr>
          <w:rFonts w:ascii="Cambria" w:cs="Cambria" w:eastAsia="Cambria" w:hAnsi="Cambria"/>
          <w:sz w:val="22"/>
          <w:szCs w:val="22"/>
        </w:rPr>
        <w:t xml:space="preserve">Seven gaps identified between the interpretability thesis and the execution plan, with specific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1400"/>
        <w:gridCol w:w="1360"/>
      </w:tblGrid>
      <w:tr>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Gap</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Problem</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Fix</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Added Compute</w:t>
            </w:r>
          </w:p>
        </w:tc>
      </w:tr>
      <w:tr>
        <w:tc>
          <w:tcPr>
            <w:tcW w:type="dxa" w:w="1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1. Co-adaptation feedback</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Oracle-α on frozen models misses co-evolution</w:t>
            </w:r>
          </w:p>
        </w:tc>
        <w:tc>
          <w:tcPr>
            <w:tcW w:type="dxa" w:w="2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Frame as lower bound; router training (Phase 6) partially addresses</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None (framing change)</w:t>
            </w:r>
          </w:p>
        </w:tc>
      </w:tr>
      <w:tr>
        <w:tc>
          <w:tcPr>
            <w:tcW w:type="dxa" w:w="1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2. Tool-breakage analysis vanished</w:t>
            </w:r>
          </w:p>
        </w:tc>
        <w:tc>
          <w:tcPr>
            <w:tcW w:type="dxa" w:w="2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Most differentiated claim had no experiment</w:t>
            </w:r>
          </w:p>
        </w:tc>
        <w:tc>
          <w:tcPr>
            <w:tcW w:type="dxa" w:w="28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Add logit lens non-monotonicity demo (Phase 5)</w:t>
            </w:r>
          </w:p>
        </w:tc>
        <w:tc>
          <w:tcPr>
            <w:tcW w:type="dxa" w:w="14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~3 hours</w:t>
            </w:r>
          </w:p>
        </w:tc>
      </w:tr>
      <w:tr>
        <w:tc>
          <w:tcPr>
            <w:tcW w:type="dxa" w:w="1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3. w_l geometry missing</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Router's learned queries never analyzed</w:t>
            </w:r>
          </w:p>
        </w:tc>
        <w:tc>
          <w:tcPr>
            <w:tcW w:type="dxa" w:w="2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Extract router weights, compute similarity structure, PCA</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~2 hours</w:t>
            </w:r>
          </w:p>
        </w:tc>
      </w:tr>
      <w:tr>
        <w:tc>
          <w:tcPr>
            <w:tcW w:type="dxa" w:w="1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4. Block structure untested</w:t>
            </w:r>
          </w:p>
        </w:tc>
        <w:tc>
          <w:tcPr>
            <w:tcW w:type="dxa" w:w="2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Paper's N≈8 finding had no validation</w:t>
            </w:r>
          </w:p>
        </w:tc>
        <w:tc>
          <w:tcPr>
            <w:tcW w:type="dxa" w:w="28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Cluster oracle-α layers; check if 8 clusters emerge via elbow method</w:t>
            </w:r>
          </w:p>
        </w:tc>
        <w:tc>
          <w:tcPr>
            <w:tcW w:type="dxa" w:w="14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~1 hour</w:t>
            </w:r>
          </w:p>
        </w:tc>
      </w:tr>
      <w:tr>
        <w:tc>
          <w:tcPr>
            <w:tcW w:type="dxa" w:w="1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5. Softmax competition untested</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Key design choice had no comparative test</w:t>
            </w:r>
          </w:p>
        </w:tc>
        <w:tc>
          <w:tcPr>
            <w:tcW w:type="dxa" w:w="2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Compare softmax vs. unconstrained vs. top-k regimes</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~4 hours</w:t>
            </w:r>
          </w:p>
        </w:tc>
      </w:tr>
      <w:tr>
        <w:tc>
          <w:tcPr>
            <w:tcW w:type="dxa" w:w="1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6. Figure 8 not used as predictions</w:t>
            </w:r>
          </w:p>
        </w:tc>
        <w:tc>
          <w:tcPr>
            <w:tcW w:type="dxa" w:w="2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Qualitative comparison instead of quantitative tests</w:t>
            </w:r>
          </w:p>
        </w:tc>
        <w:tc>
          <w:tcPr>
            <w:tcW w:type="dxa" w:w="28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Define 4 operationalized tests before looking at results</w:t>
            </w:r>
          </w:p>
        </w:tc>
        <w:tc>
          <w:tcPr>
            <w:tcW w:type="dxa" w:w="14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None (analysis change)</w:t>
            </w:r>
          </w:p>
        </w:tc>
      </w:tr>
      <w:tr>
        <w:tc>
          <w:tcPr>
            <w:tcW w:type="dxa" w:w="1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7. Safety angle dropped</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Most Anthropic-relevant finding was missing</w:t>
            </w:r>
          </w:p>
        </w:tc>
        <w:tc>
          <w:tcPr>
            <w:tcW w:type="dxa" w:w="2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Check if refusal-associated SAE features correlate with distinct α patterns</w:t>
            </w:r>
          </w:p>
        </w:tc>
        <w:tc>
          <w:tcPr>
            <w:tcW w:type="dxa" w:w="1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~2 hours</w:t>
            </w:r>
          </w:p>
        </w:tc>
      </w:tr>
    </w:tbl>
    <w:p>
      <w:r>
        <w:br w:type="page"/>
      </w:r>
    </w:p>
    <w:p>
      <w:pPr>
        <w:pStyle w:val="Heading1"/>
        <w:spacing w:before="360" w:after="200"/>
      </w:pPr>
      <w:r>
        <w:rPr>
          <w:rFonts w:ascii="Cambria" w:cs="Cambria" w:eastAsia="Cambria" w:hAnsi="Cambria"/>
          <w:b/>
          <w:bCs/>
          <w:color w:val="1B4F72"/>
          <w:sz w:val="32"/>
          <w:szCs w:val="32"/>
        </w:rPr>
        <w:t xml:space="preserve">20. Week-by-Week Timeline with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600"/>
        <w:gridCol w:w="2600"/>
        <w:gridCol w:w="1000"/>
        <w:gridCol w:w="1360"/>
      </w:tblGrid>
      <w:tr>
        <w:tc>
          <w:tcPr>
            <w:tcW w:type="dxa" w:w="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Week</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Phase</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Key Activities</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Gate (must pass to proceed)</w:t>
            </w:r>
          </w:p>
        </w:tc>
        <w:tc>
          <w:tcPr>
            <w:tcW w:type="dxa" w:w="1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Cambria" w:cs="Cambria" w:eastAsia="Cambria" w:hAnsi="Cambria"/>
                <w:b/>
                <w:bCs/>
                <w:color w:val="FFFFFF"/>
                <w:sz w:val="20"/>
                <w:szCs w:val="20"/>
              </w:rPr>
              <w:t xml:space="preserve">Compute</w:t>
            </w:r>
          </w:p>
        </w:tc>
      </w:tr>
      <w:tr>
        <w:tc>
          <w:tcPr>
            <w:tcW w:type="dxa" w:w="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1</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Smoke test</w:t>
            </w:r>
          </w:p>
        </w:tc>
        <w:tc>
          <w:tcPr>
            <w:tcW w:type="dxa" w:w="2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10 sequences on GPT-2 XL; implement oracle-α loop</w:t>
            </w:r>
          </w:p>
        </w:tc>
        <w:tc>
          <w:tcPr>
            <w:tcW w:type="dxa" w:w="2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α* beats uniform on 10 sequences</w:t>
            </w:r>
          </w:p>
        </w:tc>
        <w:tc>
          <w:tcPr>
            <w:tcW w:type="dxa" w:w="1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~2 hours</w:t>
            </w:r>
          </w:p>
        </w:tc>
      </w:tr>
      <w:tr>
        <w:tc>
          <w:tcPr>
            <w:tcW w:type="dxa" w:w="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1-2</w:t>
            </w:r>
          </w:p>
        </w:tc>
        <w:tc>
          <w:tcPr>
            <w:tcW w:type="dxa" w:w="1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Small-scale validation</w:t>
            </w:r>
          </w:p>
        </w:tc>
        <w:tc>
          <w:tcPr>
            <w:tcW w:type="dxa" w:w="2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100 sequences on Gemma-2-2B; all 4 null models</w:t>
            </w:r>
          </w:p>
        </w:tc>
        <w:tc>
          <w:tcPr>
            <w:tcW w:type="dxa" w:w="2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Effect is real: d &gt; 0.2 vs. random baseline</w:t>
            </w:r>
          </w:p>
        </w:tc>
        <w:tc>
          <w:tcPr>
            <w:tcW w:type="dxa" w:w="10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~4 hours</w:t>
            </w:r>
          </w:p>
        </w:tc>
      </w:tr>
      <w:tr>
        <w:tc>
          <w:tcPr>
            <w:tcW w:type="dxa" w:w="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3</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Scale up</w:t>
            </w:r>
          </w:p>
        </w:tc>
        <w:tc>
          <w:tcPr>
            <w:tcW w:type="dxa" w:w="2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5000+ stratified sequences; pattern clustering</w:t>
            </w:r>
          </w:p>
        </w:tc>
        <w:tc>
          <w:tcPr>
            <w:tcW w:type="dxa" w:w="2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Meaningful structure: silhouette &gt; 0.2</w:t>
            </w:r>
          </w:p>
        </w:tc>
        <w:tc>
          <w:tcPr>
            <w:tcW w:type="dxa" w:w="1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~8 hours</w:t>
            </w:r>
          </w:p>
        </w:tc>
      </w:tr>
      <w:tr>
        <w:tc>
          <w:tcPr>
            <w:tcW w:type="dxa" w:w="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3-4</w:t>
            </w:r>
          </w:p>
        </w:tc>
        <w:tc>
          <w:tcPr>
            <w:tcW w:type="dxa" w:w="1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SAE integration</w:t>
            </w:r>
          </w:p>
        </w:tc>
        <w:tc>
          <w:tcPr>
            <w:tcW w:type="dxa" w:w="2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Load GemmaScope SAEs; correlate with routing clusters</w:t>
            </w:r>
          </w:p>
        </w:tc>
        <w:tc>
          <w:tcPr>
            <w:tcW w:type="dxa" w:w="2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Top features per cluster are interpretable</w:t>
            </w:r>
          </w:p>
        </w:tc>
        <w:tc>
          <w:tcPr>
            <w:tcW w:type="dxa" w:w="10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~6 hours</w:t>
            </w:r>
          </w:p>
        </w:tc>
      </w:tr>
      <w:tr>
        <w:tc>
          <w:tcPr>
            <w:tcW w:type="dxa" w:w="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4</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Figure 8 tests</w:t>
            </w:r>
          </w:p>
        </w:tc>
        <w:tc>
          <w:tcPr>
            <w:tcW w:type="dxa" w:w="2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Run 4 quantitative predictions</w:t>
            </w:r>
          </w:p>
        </w:tc>
        <w:tc>
          <w:tcPr>
            <w:tcW w:type="dxa" w:w="2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At least 2/4 predictions confirmed</w:t>
            </w:r>
          </w:p>
        </w:tc>
        <w:tc>
          <w:tcPr>
            <w:tcW w:type="dxa" w:w="1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~3 hours</w:t>
            </w:r>
          </w:p>
        </w:tc>
      </w:tr>
      <w:tr>
        <w:tc>
          <w:tcPr>
            <w:tcW w:type="dxa" w:w="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4</w:t>
            </w:r>
          </w:p>
        </w:tc>
        <w:tc>
          <w:tcPr>
            <w:tcW w:type="dxa" w:w="1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Comparison regimes</w:t>
            </w:r>
          </w:p>
        </w:tc>
        <w:tc>
          <w:tcPr>
            <w:tcW w:type="dxa" w:w="2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Softmax vs. unconstrained vs. top-k</w:t>
            </w:r>
          </w:p>
        </w:tc>
        <w:tc>
          <w:tcPr>
            <w:tcW w:type="dxa" w:w="2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Results are informative (any outcome publishable)</w:t>
            </w:r>
          </w:p>
        </w:tc>
        <w:tc>
          <w:tcPr>
            <w:tcW w:type="dxa" w:w="10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~4 hours</w:t>
            </w:r>
          </w:p>
        </w:tc>
      </w:tr>
      <w:tr>
        <w:tc>
          <w:tcPr>
            <w:tcW w:type="dxa" w:w="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5</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Pythia dynamics</w:t>
            </w:r>
          </w:p>
        </w:tc>
        <w:tc>
          <w:tcPr>
            <w:tcW w:type="dxa" w:w="2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5 training checkpoints × 5K sequences each</w:t>
            </w:r>
          </w:p>
        </w:tc>
        <w:tc>
          <w:tcPr>
            <w:tcW w:type="dxa" w:w="2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Routing patterns evolve during training</w:t>
            </w:r>
          </w:p>
        </w:tc>
        <w:tc>
          <w:tcPr>
            <w:tcW w:type="dxa" w:w="1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~8 hours</w:t>
            </w:r>
          </w:p>
        </w:tc>
      </w:tr>
      <w:tr>
        <w:tc>
          <w:tcPr>
            <w:tcW w:type="dxa" w:w="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6</w:t>
            </w:r>
          </w:p>
        </w:tc>
        <w:tc>
          <w:tcPr>
            <w:tcW w:type="dxa" w:w="1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Tool breakage demo</w:t>
            </w:r>
          </w:p>
        </w:tc>
        <w:tc>
          <w:tcPr>
            <w:tcW w:type="dxa" w:w="2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Logit lens non-monotonicity on factual recall</w:t>
            </w:r>
          </w:p>
        </w:tc>
        <w:tc>
          <w:tcPr>
            <w:tcW w:type="dxa" w:w="2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Non-monotonic curves on &gt;50% of prompts</w:t>
            </w:r>
          </w:p>
        </w:tc>
        <w:tc>
          <w:tcPr>
            <w:tcW w:type="dxa" w:w="10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~3 hours</w:t>
            </w:r>
          </w:p>
        </w:tc>
      </w:tr>
      <w:tr>
        <w:tc>
          <w:tcPr>
            <w:tcW w:type="dxa" w:w="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7</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Router training</w:t>
            </w:r>
          </w:p>
        </w:tc>
        <w:tc>
          <w:tcPr>
            <w:tcW w:type="dxa" w:w="2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Frozen-base + routing MLP; distillation then end-to-end</w:t>
            </w:r>
          </w:p>
        </w:tc>
        <w:tc>
          <w:tcPr>
            <w:tcW w:type="dxa" w:w="26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Router approximates oracle-α (R² &gt; 0.5)</w:t>
            </w:r>
          </w:p>
        </w:tc>
        <w:tc>
          <w:tcPr>
            <w:tcW w:type="dxa" w:w="1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Cambria" w:cs="Cambria" w:eastAsia="Cambria" w:hAnsi="Cambria"/>
                <w:sz w:val="20"/>
                <w:szCs w:val="20"/>
              </w:rPr>
              <w:t xml:space="preserve">~26 hours</w:t>
            </w:r>
          </w:p>
        </w:tc>
      </w:tr>
      <w:tr>
        <w:tc>
          <w:tcPr>
            <w:tcW w:type="dxa" w:w="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8</w:t>
            </w:r>
          </w:p>
        </w:tc>
        <w:tc>
          <w:tcPr>
            <w:tcW w:type="dxa" w:w="12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Write-up</w:t>
            </w:r>
          </w:p>
        </w:tc>
        <w:tc>
          <w:tcPr>
            <w:tcW w:type="dxa" w:w="2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LessWrong post + arXiv preprint + code release</w:t>
            </w:r>
          </w:p>
        </w:tc>
        <w:tc>
          <w:tcPr>
            <w:tcW w:type="dxa" w:w="26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Complete draft reviewed by 1+ peer</w:t>
            </w:r>
          </w:p>
        </w:tc>
        <w:tc>
          <w:tcPr>
            <w:tcW w:type="dxa" w:w="1000"/>
            <w:tcBorders>
              <w:top w:val="single" w:color="D5D8DC" w:sz="1"/>
              <w:left w:val="single" w:color="D5D8DC" w:sz="1"/>
              <w:bottom w:val="single" w:color="D5D8DC" w:sz="1"/>
              <w:right w:val="single" w:color="D5D8DC" w:sz="1"/>
            </w:tcBorders>
            <w:shd w:fill="F2F4F4" w:val="clear"/>
            <w:tcMar>
              <w:top w:type="dxa" w:w="50"/>
              <w:left w:type="dxa" w:w="100"/>
              <w:bottom w:type="dxa" w:w="50"/>
              <w:right w:type="dxa" w:w="100"/>
            </w:tcMar>
          </w:tcPr>
          <w:p>
            <w:r>
              <w:rPr>
                <w:rFonts w:ascii="Cambria" w:cs="Cambria" w:eastAsia="Cambria" w:hAnsi="Cambria"/>
                <w:sz w:val="20"/>
                <w:szCs w:val="20"/>
              </w:rPr>
              <w:t xml:space="preserve">Writing only</w:t>
            </w:r>
          </w:p>
        </w:tc>
      </w:tr>
    </w:tbl>
    <w:p>
      <w:pPr>
        <w:spacing w:after="120" w:line="300"/>
      </w:pPr>
      <w:r>
        <w:rPr>
          <w:rFonts w:ascii="Cambria" w:cs="Cambria" w:eastAsia="Cambria" w:hAnsi="Cambria"/>
          <w:sz w:val="22"/>
          <w:szCs w:val="22"/>
        </w:rPr>
        <w:t xml:space="preserve"/>
      </w:r>
    </w:p>
    <w:p>
      <w:pPr>
        <w:pBdr>
          <w:left w:val="single" w:color="922B21" w:sz="8" w:space="8"/>
        </w:pBdr>
        <w:shd w:fill="FDEDEC" w:val="clear"/>
        <w:spacing w:before="160" w:after="40"/>
        <w:ind w:left="200" w:right="200"/>
      </w:pPr>
      <w:r>
        <w:rPr>
          <w:rFonts w:ascii="Cambria" w:cs="Cambria" w:eastAsia="Cambria" w:hAnsi="Cambria"/>
          <w:b/>
          <w:bCs/>
          <w:color w:val="922B21"/>
          <w:sz w:val="20"/>
          <w:szCs w:val="20"/>
        </w:rPr>
        <w:t xml:space="preserve">WHEN TO STOP AND REASSESS</w:t>
      </w:r>
    </w:p>
    <w:p>
      <w:pPr>
        <w:pBdr>
          <w:left w:val="single" w:color="922B21" w:sz="8" w:space="8"/>
        </w:pBdr>
        <w:shd w:fill="FDEDEC" w:val="clear"/>
        <w:spacing w:after="160"/>
        <w:ind w:left="200" w:right="200"/>
      </w:pPr>
      <w:r>
        <w:rPr>
          <w:rFonts w:ascii="Cambria" w:cs="Cambria" w:eastAsia="Cambria" w:hAnsi="Cambria"/>
          <w:color w:val="2C3E50"/>
          <w:sz w:val="20"/>
          <w:szCs w:val="20"/>
        </w:rPr>
        <w:t xml:space="preserve">(1) If oracle-α shows &lt;0.5% loss improvement over uniform on 1000+ sequences: depth routing signal is too weak. Pivot to 'standard residuals are already near-optimal.' (2) If α* patterns show no clustering (silhouette &lt; 0.2 for all K): routing is input-specific, not task-categorical. Still publishable but requires different analysis. (3) If all Figure 8 predictions fail: oracle-α finds different structure than AttnRes. Very interesting negative result. (4) If MPS produces NaN gradients in &gt;5% of optimizations: fall back to CPU.</w:t>
      </w:r>
    </w:p>
    <w:p>
      <w:pPr>
        <w:pStyle w:val="Heading1"/>
        <w:spacing w:before="360" w:after="200"/>
      </w:pPr>
      <w:r>
        <w:rPr>
          <w:rFonts w:ascii="Cambria" w:cs="Cambria" w:eastAsia="Cambria" w:hAnsi="Cambria"/>
          <w:b/>
          <w:bCs/>
          <w:color w:val="1B4F72"/>
          <w:sz w:val="32"/>
          <w:szCs w:val="32"/>
        </w:rPr>
        <w:t xml:space="preserve">21. Publication Strategy</w:t>
      </w:r>
    </w:p>
    <w:p>
      <w:pPr>
        <w:pStyle w:val="Heading3"/>
        <w:spacing w:before="240" w:after="120"/>
      </w:pPr>
      <w:r>
        <w:rPr>
          <w:rFonts w:ascii="Cambria" w:cs="Cambria" w:eastAsia="Cambria" w:hAnsi="Cambria"/>
          <w:b/>
          <w:bCs/>
          <w:color w:val="117A65"/>
          <w:sz w:val="22"/>
          <w:szCs w:val="22"/>
        </w:rPr>
        <w:t xml:space="preserve">Target Venues (in order of priority)</w:t>
      </w:r>
    </w:p>
    <w:p>
      <w:pPr>
        <w:pStyle w:val="ListParagraph"/>
        <w:numPr>
          <w:ilvl w:val="0"/>
          <w:numId w:val="2"/>
        </w:numPr>
        <w:spacing w:after="80" w:line="280"/>
      </w:pPr>
      <w:r>
        <w:rPr>
          <w:rFonts w:ascii="Cambria" w:cs="Cambria" w:eastAsia="Cambria" w:hAnsi="Cambria"/>
          <w:b/>
          <w:bCs/>
          <w:sz w:val="22"/>
          <w:szCs w:val="22"/>
        </w:rPr>
        <w:t xml:space="preserve">LessWrong/Alignment Forum (Week 8): </w:t>
      </w:r>
      <w:r>
        <w:rPr>
          <w:rFonts w:ascii="Cambria" w:cs="Cambria" w:eastAsia="Cambria" w:hAnsi="Cambria"/>
          <w:sz w:val="22"/>
          <w:szCs w:val="22"/>
        </w:rPr>
        <w:t xml:space="preserve">Fastest community impact. Interactive CircuitsVis visualizations. Framing: 'What depth routing reveals about transformer computation.'</w:t>
      </w:r>
    </w:p>
    <w:p>
      <w:pPr>
        <w:pStyle w:val="ListParagraph"/>
        <w:numPr>
          <w:ilvl w:val="0"/>
          <w:numId w:val="2"/>
        </w:numPr>
        <w:spacing w:after="80" w:line="280"/>
      </w:pPr>
      <w:r>
        <w:rPr>
          <w:rFonts w:ascii="Cambria" w:cs="Cambria" w:eastAsia="Cambria" w:hAnsi="Cambria"/>
          <w:b/>
          <w:bCs/>
          <w:sz w:val="22"/>
          <w:szCs w:val="22"/>
        </w:rPr>
        <w:t xml:space="preserve">arXiv preprint (Week 8): </w:t>
      </w:r>
      <w:r>
        <w:rPr>
          <w:rFonts w:ascii="Cambria" w:cs="Cambria" w:eastAsia="Cambria" w:hAnsi="Cambria"/>
          <w:sz w:val="22"/>
          <w:szCs w:val="22"/>
        </w:rPr>
        <w:t xml:space="preserve">Same content, standard ML format. Establishes priority.</w:t>
      </w:r>
    </w:p>
    <w:p>
      <w:pPr>
        <w:pStyle w:val="ListParagraph"/>
        <w:numPr>
          <w:ilvl w:val="0"/>
          <w:numId w:val="2"/>
        </w:numPr>
        <w:spacing w:after="80" w:line="280"/>
      </w:pPr>
      <w:r>
        <w:rPr>
          <w:rFonts w:ascii="Cambria" w:cs="Cambria" w:eastAsia="Cambria" w:hAnsi="Cambria"/>
          <w:b/>
          <w:bCs/>
          <w:sz w:val="22"/>
          <w:szCs w:val="22"/>
        </w:rPr>
        <w:t xml:space="preserve">NeurIPS 2026 MI Workshop (July deadline): </w:t>
      </w:r>
      <w:r>
        <w:rPr>
          <w:rFonts w:ascii="Cambria" w:cs="Cambria" w:eastAsia="Cambria" w:hAnsi="Cambria"/>
          <w:sz w:val="22"/>
          <w:szCs w:val="22"/>
        </w:rPr>
        <w:t xml:space="preserve">4-page paper focused on oracle-α methodology and tool-breakage demonstration.</w:t>
      </w:r>
    </w:p>
    <w:p>
      <w:pPr>
        <w:pStyle w:val="ListParagraph"/>
        <w:numPr>
          <w:ilvl w:val="0"/>
          <w:numId w:val="2"/>
        </w:numPr>
        <w:spacing w:after="80" w:line="280"/>
      </w:pPr>
      <w:r>
        <w:rPr>
          <w:rFonts w:ascii="Cambria" w:cs="Cambria" w:eastAsia="Cambria" w:hAnsi="Cambria"/>
          <w:b/>
          <w:bCs/>
          <w:sz w:val="22"/>
          <w:szCs w:val="22"/>
        </w:rPr>
        <w:t xml:space="preserve">ICML 2027 full paper: </w:t>
      </w:r>
      <w:r>
        <w:rPr>
          <w:rFonts w:ascii="Cambria" w:cs="Cambria" w:eastAsia="Cambria" w:hAnsi="Cambria"/>
          <w:sz w:val="22"/>
          <w:szCs w:val="22"/>
        </w:rPr>
        <w:t xml:space="preserve">If router training produces strong results and/or AttnRes weights become available.</w:t>
      </w:r>
    </w:p>
    <w:p>
      <w:pPr>
        <w:pStyle w:val="Heading3"/>
        <w:spacing w:before="240" w:after="120"/>
      </w:pPr>
      <w:r>
        <w:rPr>
          <w:rFonts w:ascii="Cambria" w:cs="Cambria" w:eastAsia="Cambria" w:hAnsi="Cambria"/>
          <w:b/>
          <w:bCs/>
          <w:color w:val="117A65"/>
          <w:sz w:val="22"/>
          <w:szCs w:val="22"/>
        </w:rPr>
        <w:t xml:space="preserve">Paper Framing</w:t>
      </w:r>
    </w:p>
    <w:p>
      <w:pPr>
        <w:spacing w:after="120" w:line="300"/>
      </w:pPr>
      <w:r>
        <w:rPr>
          <w:rFonts w:ascii="Cambria" w:cs="Cambria" w:eastAsia="Cambria" w:hAnsi="Cambria"/>
          <w:i/>
          <w:iCs/>
          <w:color w:val="5D6D7E"/>
          <w:sz w:val="22"/>
          <w:szCs w:val="22"/>
        </w:rPr>
        <w:t xml:space="preserve">'We show that standard transformers already contain latent depth-routing structure that existing interpretability tools cannot see. We demonstrate this through oracle-α analysis, show that this structure matches patterns independently discovered in trained AttnRes models (Figure 8 validation), identify where current tools would fail under dynamic routing, and argue that architectures like AttnRes make this hidden structure explicit and actionable for safety.'</w:t>
      </w:r>
    </w:p>
    <w:p>
      <w:pPr>
        <w:pStyle w:val="Heading3"/>
        <w:spacing w:before="240" w:after="120"/>
      </w:pPr>
      <w:r>
        <w:rPr>
          <w:rFonts w:ascii="Cambria" w:cs="Cambria" w:eastAsia="Cambria" w:hAnsi="Cambria"/>
          <w:b/>
          <w:bCs/>
          <w:color w:val="117A65"/>
          <w:sz w:val="22"/>
          <w:szCs w:val="22"/>
        </w:rPr>
        <w:t xml:space="preserve">Safe Claims vs. Overclaims</w:t>
      </w:r>
    </w:p>
    <w:p>
      <w:pPr>
        <w:spacing w:after="120" w:line="300"/>
      </w:pPr>
      <w:r>
        <w:rPr>
          <w:rFonts w:ascii="Cambria" w:cs="Cambria" w:eastAsia="Cambria" w:hAnsi="Cambria"/>
          <w:b/>
          <w:bCs/>
          <w:sz w:val="22"/>
          <w:szCs w:val="22"/>
        </w:rPr>
        <w:t xml:space="preserve">Safe: </w:t>
      </w:r>
      <w:r>
        <w:rPr>
          <w:rFonts w:ascii="Cambria" w:cs="Cambria" w:eastAsia="Cambria" w:hAnsi="Cambria"/>
          <w:sz w:val="22"/>
          <w:szCs w:val="22"/>
        </w:rPr>
        <w:t xml:space="preserve">Oracle-α achieves lower loss than uniform. Patterns show specific quantifiable structure. Routing differs across task categories. SAE features correlate with routing clusters.</w:t>
      </w:r>
    </w:p>
    <w:p>
      <w:pPr>
        <w:spacing w:after="120" w:line="300"/>
      </w:pPr>
      <w:r>
        <w:rPr>
          <w:rFonts w:ascii="Cambria" w:cs="Cambria" w:eastAsia="Cambria" w:hAnsi="Cambria"/>
          <w:b/>
          <w:bCs/>
          <w:sz w:val="22"/>
          <w:szCs w:val="22"/>
        </w:rPr>
        <w:t xml:space="preserve">Reasonable suggestions: </w:t>
      </w:r>
      <w:r>
        <w:rPr>
          <w:rFonts w:ascii="Cambria" w:cs="Cambria" w:eastAsia="Cambria" w:hAnsi="Cambria"/>
          <w:sz w:val="22"/>
          <w:szCs w:val="22"/>
        </w:rPr>
        <w:t xml:space="preserve">AttnRes would likely enhance these patterns through co-adaptation. Existing tools need modification. The α weights represent a new interpretability surface.</w:t>
      </w:r>
    </w:p>
    <w:p>
      <w:pPr>
        <w:spacing w:after="120" w:line="300"/>
      </w:pPr>
      <w:r>
        <w:rPr>
          <w:rFonts w:ascii="Cambria" w:cs="Cambria" w:eastAsia="Cambria" w:hAnsi="Cambria"/>
          <w:b/>
          <w:bCs/>
          <w:sz w:val="22"/>
          <w:szCs w:val="22"/>
        </w:rPr>
        <w:t xml:space="preserve">Overclaims to avoid: </w:t>
      </w:r>
      <w:r>
        <w:rPr>
          <w:rFonts w:ascii="Cambria" w:cs="Cambria" w:eastAsia="Cambria" w:hAnsi="Cambria"/>
          <w:sz w:val="22"/>
          <w:szCs w:val="22"/>
        </w:rPr>
        <w:t xml:space="preserve">'AttnRes makes models more interpretable' (untested on trained AttnRes). 'This proves depth routing is necessary' (oracle-α is post-hoc). 'X layers are redundant' (low α ≠ redundancy).</w:t>
      </w:r>
    </w:p>
    <w:p>
      <w:r>
        <w:br w:type="page"/>
      </w:r>
    </w:p>
    <w:p>
      <w:pPr>
        <w:pStyle w:val="Heading3"/>
        <w:spacing w:before="240" w:after="120"/>
      </w:pPr>
      <w:r>
        <w:rPr>
          <w:rFonts w:ascii="Cambria" w:cs="Cambria" w:eastAsia="Cambria" w:hAnsi="Cambria"/>
          <w:b/>
          <w:bCs/>
          <w:color w:val="117A65"/>
          <w:sz w:val="22"/>
          <w:szCs w:val="22"/>
        </w:rPr>
        <w:t xml:space="preserve">Reproducibility Requirements</w:t>
      </w:r>
    </w:p>
    <w:p>
      <w:pPr>
        <w:pStyle w:val="ListParagraph"/>
        <w:numPr>
          <w:ilvl w:val="0"/>
          <w:numId w:val="2"/>
        </w:numPr>
        <w:spacing w:after="80" w:line="280"/>
      </w:pPr>
      <w:r>
        <w:rPr>
          <w:rFonts w:ascii="Cambria" w:cs="Cambria" w:eastAsia="Cambria" w:hAnsi="Cambria"/>
          <w:sz w:val="22"/>
          <w:szCs w:val="22"/>
        </w:rPr>
        <w:t xml:space="preserve">Fix all random seeds (PyTorch, NumPy, Python hash seed)</w:t>
      </w:r>
    </w:p>
    <w:p>
      <w:pPr>
        <w:pStyle w:val="ListParagraph"/>
        <w:numPr>
          <w:ilvl w:val="0"/>
          <w:numId w:val="2"/>
        </w:numPr>
        <w:spacing w:after="80" w:line="280"/>
      </w:pPr>
      <w:r>
        <w:rPr>
          <w:rFonts w:ascii="Cambria" w:cs="Cambria" w:eastAsia="Cambria" w:hAnsi="Cambria"/>
          <w:sz w:val="22"/>
          <w:szCs w:val="22"/>
        </w:rPr>
        <w:t xml:space="preserve">Log all hyperparameters to W&amp;B before running experiments</w:t>
      </w:r>
    </w:p>
    <w:p>
      <w:pPr>
        <w:pStyle w:val="ListParagraph"/>
        <w:numPr>
          <w:ilvl w:val="0"/>
          <w:numId w:val="2"/>
        </w:numPr>
        <w:spacing w:after="80" w:line="280"/>
      </w:pPr>
      <w:r>
        <w:rPr>
          <w:rFonts w:ascii="Cambria" w:cs="Cambria" w:eastAsia="Cambria" w:hAnsi="Cambria"/>
          <w:sz w:val="22"/>
          <w:szCs w:val="22"/>
        </w:rPr>
        <w:t xml:space="preserve">Version-lock all dependencies in requirements.txt</w:t>
      </w:r>
    </w:p>
    <w:p>
      <w:pPr>
        <w:pStyle w:val="ListParagraph"/>
        <w:numPr>
          <w:ilvl w:val="0"/>
          <w:numId w:val="2"/>
        </w:numPr>
        <w:spacing w:after="80" w:line="280"/>
      </w:pPr>
      <w:r>
        <w:rPr>
          <w:rFonts w:ascii="Cambria" w:cs="Cambria" w:eastAsia="Cambria" w:hAnsi="Cambria"/>
          <w:sz w:val="22"/>
          <w:szCs w:val="22"/>
        </w:rPr>
        <w:t xml:space="preserve">Pre-register hypothesis and analysis plan on LessWrong before running experiments</w:t>
      </w:r>
    </w:p>
    <w:p>
      <w:pPr>
        <w:pStyle w:val="ListParagraph"/>
        <w:numPr>
          <w:ilvl w:val="0"/>
          <w:numId w:val="2"/>
        </w:numPr>
        <w:spacing w:after="80" w:line="280"/>
      </w:pPr>
      <w:r>
        <w:rPr>
          <w:rFonts w:ascii="Cambria" w:cs="Cambria" w:eastAsia="Cambria" w:hAnsi="Cambria"/>
          <w:sz w:val="22"/>
          <w:szCs w:val="22"/>
        </w:rPr>
        <w:t xml:space="preserve">All heatmaps use colorblind-friendly palette (viridis)</w:t>
      </w:r>
    </w:p>
    <w:p>
      <w:pPr>
        <w:pStyle w:val="ListParagraph"/>
        <w:numPr>
          <w:ilvl w:val="0"/>
          <w:numId w:val="2"/>
        </w:numPr>
        <w:spacing w:after="80" w:line="280"/>
      </w:pPr>
      <w:r>
        <w:rPr>
          <w:rFonts w:ascii="Cambria" w:cs="Cambria" w:eastAsia="Cambria" w:hAnsi="Cambria"/>
          <w:sz w:val="22"/>
          <w:szCs w:val="22"/>
        </w:rPr>
        <w:t xml:space="preserve">All claims include error bars or confidence intervals</w:t>
      </w:r>
    </w:p>
    <w:p>
      <w:pPr>
        <w:pStyle w:val="ListParagraph"/>
        <w:numPr>
          <w:ilvl w:val="0"/>
          <w:numId w:val="2"/>
        </w:numPr>
        <w:spacing w:after="80" w:line="280"/>
      </w:pPr>
      <w:r>
        <w:rPr>
          <w:rFonts w:ascii="Cambria" w:cs="Cambria" w:eastAsia="Cambria" w:hAnsi="Cambria"/>
          <w:sz w:val="22"/>
          <w:szCs w:val="22"/>
        </w:rPr>
        <w:t xml:space="preserve">All comparisons include null baselines</w:t>
      </w:r>
    </w:p>
    <w:p>
      <w:pPr>
        <w:pStyle w:val="ListParagraph"/>
        <w:numPr>
          <w:ilvl w:val="0"/>
          <w:numId w:val="2"/>
        </w:numPr>
        <w:spacing w:after="80" w:line="280"/>
      </w:pPr>
      <w:r>
        <w:rPr>
          <w:rFonts w:ascii="Cambria" w:cs="Cambria" w:eastAsia="Cambria" w:hAnsi="Cambria"/>
          <w:sz w:val="22"/>
          <w:szCs w:val="22"/>
        </w:rPr>
        <w:t xml:space="preserve">All per-layer plots annotate attention vs. MLP sublayers</w:t>
      </w:r>
    </w:p>
    <w:p>
      <w:pPr>
        <w:spacing w:after="120" w:line="300"/>
      </w:pPr>
      <w:r>
        <w:rPr>
          <w:rFonts w:ascii="Cambria" w:cs="Cambria" w:eastAsia="Cambria" w:hAnsi="Cambria"/>
          <w:sz w:val="22"/>
          <w:szCs w:val="22"/>
        </w:rPr>
        <w:t xml:space="preserve"/>
      </w:r>
    </w:p>
    <w:p>
      <w:pPr>
        <w:pBdr>
          <w:top w:val="single" w:color="1B4F72" w:sz="2"/>
        </w:pBdr>
        <w:spacing w:before="400"/>
        <w:jc w:val="center"/>
      </w:pPr>
    </w:p>
    <w:p>
      <w:pPr>
        <w:spacing w:before="200"/>
        <w:jc w:val="center"/>
      </w:pPr>
      <w:r>
        <w:rPr>
          <w:rFonts w:ascii="Cambria" w:cs="Cambria" w:eastAsia="Cambria" w:hAnsi="Cambria"/>
          <w:i/>
          <w:iCs/>
          <w:color w:val="5D6D7E"/>
          <w:sz w:val="20"/>
          <w:szCs w:val="20"/>
        </w:rPr>
        <w:t xml:space="preserve">End of Document</w:t>
      </w:r>
    </w:p>
    <w:p>
      <w:pPr>
        <w:spacing w:after="200"/>
        <w:jc w:val="center"/>
      </w:pPr>
      <w:r>
        <w:rPr>
          <w:rFonts w:ascii="Cambria" w:cs="Cambria" w:eastAsia="Cambria" w:hAnsi="Cambria"/>
          <w:color w:val="5D6D7E"/>
          <w:sz w:val="18"/>
          <w:szCs w:val="18"/>
        </w:rPr>
        <w:t xml:space="preserve">Sohail Mohammad | March 2026 |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5D6D7E"/>
        <w:sz w:val="16"/>
        <w:szCs w:val="16"/>
      </w:rPr>
      <w:t xml:space="preserve">Page </w:t>
    </w:r>
    <w:r>
      <w:rPr>
        <w:rFonts w:ascii="Cambria" w:cs="Cambria" w:eastAsia="Cambria" w:hAnsi="Cambria"/>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5D6D7E"/>
        <w:sz w:val="16"/>
        <w:szCs w:val="16"/>
      </w:rPr>
      <w:t xml:space="preserve">Depth-Routing Spectroscopy | Master Research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mbria" w:cs="Cambria" w:eastAsia="Cambria" w:hAnsi="Cambria"/>
      <w:b/>
      <w:bCs/>
      <w:color w:val="1B4F72"/>
      <w:sz w:val="32"/>
      <w:szCs w:val="32"/>
    </w:rPr>
  </w:style>
  <w:style w:type="paragraph" w:styleId="Heading2">
    <w:name w:val="Heading 2"/>
    <w:basedOn w:val="Normal"/>
    <w:next w:val="Normal"/>
    <w:qFormat/>
    <w:pPr>
      <w:spacing w:before="300" w:after="160"/>
      <w:outlineLvl w:val="1"/>
    </w:pPr>
    <w:rPr>
      <w:rFonts w:ascii="Cambria" w:cs="Cambria" w:eastAsia="Cambria" w:hAnsi="Cambria"/>
      <w:b/>
      <w:bCs/>
      <w:color w:val="1B4F72"/>
      <w:sz w:val="26"/>
      <w:szCs w:val="26"/>
    </w:rPr>
  </w:style>
  <w:style w:type="paragraph" w:styleId="Heading3">
    <w:name w:val="Heading 3"/>
    <w:basedOn w:val="Normal"/>
    <w:next w:val="Normal"/>
    <w:qFormat/>
    <w:pPr>
      <w:spacing w:before="240" w:after="120"/>
      <w:outlineLvl w:val="2"/>
    </w:pPr>
    <w:rPr>
      <w:rFonts w:ascii="Cambria" w:cs="Cambria" w:eastAsia="Cambria" w:hAnsi="Cambria"/>
      <w:b/>
      <w:bCs/>
      <w:color w:val="117A6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2026-03-16T17:33:42.942Z</dcterms:created>
  <dcterms:modified xsi:type="dcterms:W3CDTF">2026-03-16T17:33:42.943Z</dcterms:modified>
</cp:coreProperties>
</file>

<file path=docProps/custom.xml><?xml version="1.0" encoding="utf-8"?>
<Properties xmlns="http://schemas.openxmlformats.org/officeDocument/2006/custom-properties" xmlns:vt="http://schemas.openxmlformats.org/officeDocument/2006/docPropsVTypes"/>
</file>