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C0605"/>
          </w:tcPr>
          <w:p>
            <w:pPr>
              <w:spacing w:before="60" w:after="60"/>
            </w:pPr>
          </w:p>
        </w:tc>
      </w:tr>
    </w:tbl>
    <w:p>
      <w:pPr>
        <w:spacing w:after="120"/>
      </w:pPr>
    </w:p>
    <w:p>
      <w:pPr>
        <w:spacing w:before="0" w:after="0"/>
      </w:pPr>
      <w:r>
        <w:rPr>
          <w:b/>
          <w:i w:val="0"/>
          <w:color w:val="CC0605"/>
          <w:sz w:val="22"/>
        </w:rPr>
        <w:t>GP BULLHOUND</w:t>
      </w:r>
    </w:p>
    <w:p>
      <w:pPr>
        <w:spacing w:before="0" w:after="280"/>
      </w:pPr>
      <w:r>
        <w:rPr>
          <w:b w:val="0"/>
          <w:i w:val="0"/>
          <w:color w:val="6B7280"/>
          <w:sz w:val="18"/>
        </w:rPr>
        <w:t>M&amp;A Advisory</w:t>
      </w:r>
    </w:p>
    <w:p>
      <w:pPr>
        <w:spacing w:before="0" w:after="80"/>
      </w:pPr>
      <w:r>
        <w:rPr>
          <w:b/>
          <w:i w:val="0"/>
          <w:color w:val="252850"/>
          <w:sz w:val="44"/>
        </w:rPr>
        <w:t>M&amp;A &amp; Investment Banking</w:t>
      </w:r>
    </w:p>
    <w:p>
      <w:pPr>
        <w:spacing w:before="0" w:after="40"/>
      </w:pPr>
      <w:r>
        <w:rPr>
          <w:b w:val="0"/>
          <w:i w:val="0"/>
          <w:color w:val="6B7280"/>
          <w:sz w:val="32"/>
        </w:rPr>
        <w:t>Briefing Document</w:t>
      </w:r>
    </w:p>
    <w:p>
      <w:pPr>
        <w:spacing w:before="0" w:after="0"/>
      </w:pPr>
      <w:r>
        <w:rPr>
          <w:b w:val="0"/>
          <w:i/>
          <w:color w:val="6B7280"/>
          <w:sz w:val="18"/>
        </w:rPr>
        <w:t>Strategic Fit Engine  ·  Confidential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C0605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01  </w:t>
            </w:r>
            <w:r>
              <w:rPr>
                <w:b/>
                <w:color w:val="FFFFFF"/>
                <w:sz w:val="20"/>
              </w:rPr>
              <w:t>COMPANY METRICS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/>
          <w:color w:val="6B7280"/>
          <w:sz w:val="18"/>
        </w:rPr>
        <w:t>The five numbers that anchor every deal conversation.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ARR — ANNUAL RECURRING REVENUE</w:t>
      </w:r>
    </w:p>
    <w:p>
      <w:pPr>
        <w:pStyle w:val="ListBullet"/>
        <w:spacing w:before="20" w:after="40"/>
        <w:ind w:left="227"/>
      </w:pPr>
      <w:r>
        <w:rPr>
          <w:b w:val="0"/>
          <w:i w:val="0"/>
          <w:color w:val="2C2C2C"/>
          <w:sz w:val="19"/>
        </w:rPr>
        <w:t>Annualised value of active subscription contracts. The valuation anchor for SaaS.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Why it matters: </w:t>
      </w:r>
      <w:r>
        <w:rPr>
          <w:b w:val="0"/>
          <w:i w:val="0"/>
          <w:color w:val="2C2C2C"/>
          <w:sz w:val="19"/>
        </w:rPr>
        <w:t>Rule: ARR × Multiple = Enterprise Value. Growing ARR at 40%+ commands premium multiples.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EBITDA — EARNINGS BEFORE INTEREST, TAX, DEPRECIATION &amp; AMORTISATION</w:t>
      </w:r>
    </w:p>
    <w:p>
      <w:pPr>
        <w:pStyle w:val="ListBullet"/>
        <w:spacing w:before="20" w:after="40"/>
        <w:ind w:left="227"/>
      </w:pPr>
      <w:r>
        <w:rPr>
          <w:b w:val="0"/>
          <w:i w:val="0"/>
          <w:color w:val="2C2C2C"/>
          <w:sz w:val="19"/>
        </w:rPr>
        <w:t>Operating profitability, stripped of financing and accounting noise. Proxy for cash generation.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Why it matters: </w:t>
      </w:r>
      <w:r>
        <w:rPr>
          <w:b w:val="0"/>
          <w:i w:val="0"/>
          <w:color w:val="2C2C2C"/>
          <w:sz w:val="19"/>
        </w:rPr>
        <w:t>Healthy SaaS margin at scale: 20–30%. Early stage is often negative — that's expected.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FCF — FREE CASH FLOW</w:t>
      </w:r>
    </w:p>
    <w:p>
      <w:pPr>
        <w:pStyle w:val="ListBullet"/>
        <w:spacing w:before="20" w:after="40"/>
        <w:ind w:left="227"/>
      </w:pPr>
      <w:r>
        <w:rPr>
          <w:b w:val="0"/>
          <w:i w:val="0"/>
          <w:color w:val="2C2C2C"/>
          <w:sz w:val="19"/>
        </w:rPr>
        <w:t>Cash left after capex. What the DCF model actually discounts.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Why it matters: </w:t>
      </w:r>
      <w:r>
        <w:rPr>
          <w:b w:val="0"/>
          <w:i w:val="0"/>
          <w:color w:val="2C2C2C"/>
          <w:sz w:val="19"/>
        </w:rPr>
        <w:t>FCF = EBITDA × Conversion Rate. SaaS is capital-light so conversion is typically 50–70%.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NRR — NET REVENUE RETENTION</w:t>
      </w:r>
    </w:p>
    <w:p>
      <w:pPr>
        <w:pStyle w:val="ListBullet"/>
        <w:spacing w:before="20" w:after="40"/>
        <w:ind w:left="227"/>
      </w:pPr>
      <w:r>
        <w:rPr>
          <w:b w:val="0"/>
          <w:i w:val="0"/>
          <w:color w:val="2C2C2C"/>
          <w:sz w:val="19"/>
        </w:rPr>
        <w:t>% of last year's ARR retained and expanded, excluding new customers.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Why it matters: </w:t>
      </w:r>
      <w:r>
        <w:rPr>
          <w:b w:val="0"/>
          <w:i w:val="0"/>
          <w:color w:val="2C2C2C"/>
          <w:sz w:val="19"/>
        </w:rPr>
        <w:t>&gt;100% = existing customers are growing spend. &gt;120% = best-in-class. &lt;90% = red flag.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BURN RATE — MONTHLY CASH OUTFLOW ABOVE INCOME</w:t>
      </w:r>
    </w:p>
    <w:p>
      <w:pPr>
        <w:pStyle w:val="ListBullet"/>
        <w:spacing w:before="20" w:after="40"/>
        <w:ind w:left="227"/>
      </w:pPr>
      <w:r>
        <w:rPr>
          <w:b w:val="0"/>
          <w:i w:val="0"/>
          <w:color w:val="2C2C2C"/>
          <w:sz w:val="19"/>
        </w:rPr>
        <w:t>Relevant for pre-profit targets. Runway = Cash ÷ Monthly Burn.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Why it matters: </w:t>
      </w:r>
      <w:r>
        <w:rPr>
          <w:b w:val="0"/>
          <w:i w:val="0"/>
          <w:color w:val="2C2C2C"/>
          <w:sz w:val="19"/>
        </w:rPr>
        <w:t>&lt;12 months runway = urgency to sell. Creates negotiating leverage for the buyer.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02  </w:t>
            </w:r>
            <w:r>
              <w:rPr>
                <w:b/>
                <w:color w:val="FFFFFF"/>
                <w:sz w:val="20"/>
              </w:rPr>
              <w:t>VALUATION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REVENUE MULTIPLE  (EV / ARR)</w:t>
      </w:r>
    </w:p>
    <w:p>
      <w:pPr>
        <w:spacing w:before="40" w:after="80"/>
      </w:pPr>
      <w:r>
        <w:rPr>
          <w:b w:val="0"/>
          <w:i w:val="0"/>
          <w:color w:val="2C2C2C"/>
          <w:sz w:val="19"/>
        </w:rPr>
        <w:t>The primary valuation shorthand for high-growth software. Enterprise Value = ARR × Multiple. The multiple is driven by growth rate, NRR, gross margin, and market size.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ARR GROWTH RATE</w:t>
            </w:r>
          </w:p>
        </w:tc>
        <w:tc>
          <w:tcPr>
            <w:tcW w:type="dxa" w:w="4252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TYPICAL EV / ARR RANGE</w:t>
            </w:r>
          </w:p>
        </w:tc>
      </w:tr>
      <w:tr>
        <w:tc>
          <w:tcPr>
            <w:tcW w:type="dxa" w:w="4252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&gt; 60% YoY</w:t>
            </w:r>
          </w:p>
        </w:tc>
        <w:tc>
          <w:tcPr>
            <w:tcW w:type="dxa" w:w="4252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8 – 15×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40 – 60% YoY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5 – 8×</w:t>
            </w:r>
          </w:p>
        </w:tc>
      </w:tr>
      <w:tr>
        <w:tc>
          <w:tcPr>
            <w:tcW w:type="dxa" w:w="4252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20 – 40% YoY</w:t>
            </w:r>
          </w:p>
        </w:tc>
        <w:tc>
          <w:tcPr>
            <w:tcW w:type="dxa" w:w="4252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3 – 6×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&lt; 20% YoY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1.5 – 3×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EBITDA MULTIPLE  (EV / EBITDA)</w:t>
      </w:r>
    </w:p>
    <w:p>
      <w:pPr>
        <w:spacing w:before="40" w:after="120"/>
      </w:pPr>
      <w:r>
        <w:rPr>
          <w:b w:val="0"/>
          <w:i w:val="0"/>
          <w:color w:val="2C2C2C"/>
          <w:sz w:val="19"/>
        </w:rPr>
        <w:t>Dominant metric for profitable businesses. More meaningful than revenue multiples at maturity. European healthcare IT: typically 15–25×.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DCF — DISCOUNTED CASH FLOW</w:t>
      </w:r>
    </w:p>
    <w:p>
      <w:pPr>
        <w:spacing w:before="40" w:after="80"/>
      </w:pPr>
      <w:r>
        <w:rPr>
          <w:b w:val="0"/>
          <w:i w:val="0"/>
          <w:color w:val="2C2C2C"/>
          <w:sz w:val="19"/>
        </w:rPr>
        <w:t>The most rigorous method. Values all future cash flows in today's money. Every figure in the DCF section of the report flows from these five inputs: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984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5386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Revenue Growth</w:t>
            </w:r>
          </w:p>
        </w:tc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10% → 6% declining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Projects top-line over 5 years. Declining rate reflects market maturation.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EBITDA Margin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15%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Converts revenue to operating profit.</w:t>
            </w:r>
          </w:p>
        </w:tc>
      </w:tr>
      <w:tr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FCF Conversion</w:t>
            </w:r>
          </w:p>
        </w:tc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55%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Converts EBITDA to cash after capex and working capital.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WACC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10.5%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The discount rate. Higher = lower valuation. Reflects risk and cost of capital.</w:t>
            </w:r>
          </w:p>
        </w:tc>
      </w:tr>
      <w:tr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Terminal Growth</w:t>
            </w:r>
          </w:p>
        </w:tc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3.0%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Long-run growth rate after year 5. Anchored to nominal GDP. Drives 60–80% of EV.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READING THE DCF OUTPUT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5953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3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Sum of PV FCFs</w:t>
            </w:r>
          </w:p>
        </w:tc>
        <w:tc>
          <w:tcPr>
            <w:tcW w:type="dxa" w:w="5953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Discounted value of years 1–5 cash flows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PV of Terminal Value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All cash flows after year 5, discounted to today</w:t>
            </w:r>
          </w:p>
        </w:tc>
      </w:tr>
      <w:tr>
        <w:tc>
          <w:tcPr>
            <w:tcW w:type="dxa" w:w="283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Enterprise Value</w:t>
            </w:r>
          </w:p>
        </w:tc>
        <w:tc>
          <w:tcPr>
            <w:tcW w:type="dxa" w:w="5953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Sum of above — standalone intrinsic value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Synergy Value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Extra value this specific buyer can unlock</w:t>
            </w:r>
          </w:p>
        </w:tc>
      </w:tr>
      <w:tr>
        <w:tc>
          <w:tcPr>
            <w:tcW w:type="dxa" w:w="283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Acquisition Price</w:t>
            </w:r>
          </w:p>
        </w:tc>
        <w:tc>
          <w:tcPr>
            <w:tcW w:type="dxa" w:w="5953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EV + Synergy — indicative offer price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EV / Revenue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Implied multiple — cross-check against comparables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SYNERGY PREMIUM</w:t>
      </w:r>
    </w:p>
    <w:p>
      <w:pPr>
        <w:spacing w:before="40" w:after="80"/>
      </w:pPr>
      <w:r>
        <w:rPr>
          <w:b w:val="0"/>
          <w:i w:val="0"/>
          <w:color w:val="2C2C2C"/>
          <w:sz w:val="19"/>
        </w:rPr>
        <w:t>The extra value a specific acquiror can generate that a standalone buyer cannot. Our model applies 20% on EV. Three types: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Revenue: </w:t>
      </w:r>
      <w:r>
        <w:rPr>
          <w:b w:val="0"/>
          <w:i w:val="0"/>
          <w:color w:val="2C2C2C"/>
          <w:sz w:val="19"/>
        </w:rPr>
        <w:t>Cross-sell the target's product to the buyer's existing customers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Cost: </w:t>
      </w:r>
      <w:r>
        <w:rPr>
          <w:b w:val="0"/>
          <w:i w:val="0"/>
          <w:color w:val="2C2C2C"/>
          <w:sz w:val="19"/>
        </w:rPr>
        <w:t>Shared infrastructure, combined G&amp;A, reduced headcount overlap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Capability: </w:t>
      </w:r>
      <w:r>
        <w:rPr>
          <w:b w:val="0"/>
          <w:i w:val="0"/>
          <w:color w:val="2C2C2C"/>
          <w:sz w:val="19"/>
        </w:rPr>
        <w:t>Target's IP or data enhances the buyer's core product</w:t>
      </w:r>
    </w:p>
    <w:p>
      <w:pPr>
        <w:spacing w:before="80" w:after="120"/>
      </w:pPr>
      <w:r>
        <w:rPr>
          <w:b w:val="0"/>
          <w:i/>
          <w:color w:val="6B7280"/>
          <w:sz w:val="17"/>
        </w:rPr>
        <w:t>Note: 50–70% of deals fail to deliver projected synergies. Always stress-test to zero synergies to confirm the deal works on a standalone basis.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03  </w:t>
            </w:r>
            <w:r>
              <w:rPr>
                <w:b/>
                <w:color w:val="FFFFFF"/>
                <w:sz w:val="20"/>
              </w:rPr>
              <w:t>DEAL PROCESS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STAGES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1. Origination </w:t>
      </w:r>
      <w:r>
        <w:rPr>
          <w:b w:val="0"/>
          <w:i w:val="0"/>
          <w:color w:val="2C2C2C"/>
          <w:sz w:val="19"/>
        </w:rPr>
        <w:t>Identify target, build thesis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2. Approach </w:t>
      </w:r>
      <w:r>
        <w:rPr>
          <w:b w:val="0"/>
          <w:i w:val="0"/>
          <w:color w:val="2C2C2C"/>
          <w:sz w:val="19"/>
        </w:rPr>
        <w:t>NDA signed, initial discussions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3. Indicative LOI </w:t>
      </w:r>
      <w:r>
        <w:rPr>
          <w:b w:val="0"/>
          <w:i w:val="0"/>
          <w:color w:val="2C2C2C"/>
          <w:sz w:val="19"/>
        </w:rPr>
        <w:t>Non-binding letter of intent — price &amp; key terms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4. Due Diligence </w:t>
      </w:r>
      <w:r>
        <w:rPr>
          <w:b w:val="0"/>
          <w:i w:val="0"/>
          <w:color w:val="2C2C2C"/>
          <w:sz w:val="19"/>
        </w:rPr>
        <w:t>Financial, legal, technical, commercial DD — typically 6–10 weeks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5. Binding Offer </w:t>
      </w:r>
      <w:r>
        <w:rPr>
          <w:b w:val="0"/>
          <w:i w:val="0"/>
          <w:color w:val="2C2C2C"/>
          <w:sz w:val="19"/>
        </w:rPr>
        <w:t>Final price and conditions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6. SPA Signed </w:t>
      </w:r>
      <w:r>
        <w:rPr>
          <w:b w:val="0"/>
          <w:i w:val="0"/>
          <w:color w:val="2C2C2C"/>
          <w:sz w:val="19"/>
        </w:rPr>
        <w:t>Share Purchase Agreement — legally binding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7. Regulatory </w:t>
      </w:r>
      <w:r>
        <w:rPr>
          <w:b w:val="0"/>
          <w:i w:val="0"/>
          <w:color w:val="2C2C2C"/>
          <w:sz w:val="19"/>
        </w:rPr>
        <w:t>Competition authority clearance if required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8. Close </w:t>
      </w:r>
      <w:r>
        <w:rPr>
          <w:b w:val="0"/>
          <w:i w:val="0"/>
          <w:color w:val="2C2C2C"/>
          <w:sz w:val="19"/>
        </w:rPr>
        <w:t>Cash transferred, ownership transferred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9. Integration </w:t>
      </w:r>
      <w:r>
        <w:rPr>
          <w:b w:val="0"/>
          <w:i w:val="0"/>
          <w:color w:val="2C2C2C"/>
          <w:sz w:val="19"/>
        </w:rPr>
        <w:t>100-day plan: people, systems, culture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KEY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087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NDA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Non-Disclosure Agreement. Signed before any confidential data is shared.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CIM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Confidential Information Memorandum. 30–80 page sell-side document: financials, product, market, team, valuation.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LOI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Letter of Intent. Non-binding offer. Triggers exclusivity (usually 30–60 days).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Data Room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Secure repository of all DD materials: accounts, contracts, IP, cap table.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SPA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Share Purchase Agreement. The binding contract. Contains reps, warranties, indemnities.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DEAL STRUCTURES — HOW CONSIDERATION IS PAID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85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685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SELLER IMPLICATION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Cash</w:t>
            </w:r>
          </w:p>
        </w:tc>
        <w:tc>
          <w:tcPr>
            <w:tcW w:type="dxa" w:w="368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Full payment at close</w:t>
            </w:r>
          </w:p>
        </w:tc>
        <w:tc>
          <w:tcPr>
            <w:tcW w:type="dxa" w:w="368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Certainty. Taxable immediately.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Stock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Buyer shares issued to seller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Upside if buyer performs. Dilution risk.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Earnout</w:t>
            </w:r>
          </w:p>
        </w:tc>
        <w:tc>
          <w:tcPr>
            <w:tcW w:type="dxa" w:w="368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Deferred cash tied to milestones</w:t>
            </w:r>
          </w:p>
        </w:tc>
        <w:tc>
          <w:tcPr>
            <w:tcW w:type="dxa" w:w="3685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Aligns incentives. Often disputed post-close.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Rollover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Seller reinvests % into combined co.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Retained upside. Common in PE transactions.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04  </w:t>
            </w:r>
            <w:r>
              <w:rPr>
                <w:b/>
                <w:color w:val="FFFFFF"/>
                <w:sz w:val="20"/>
              </w:rPr>
              <w:t>STRATEGIC FIT SCORING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 w:val="0"/>
          <w:i/>
          <w:color w:val="2C2C2C"/>
          <w:sz w:val="19"/>
        </w:rPr>
        <w:t>The 7-criterion rubric forces explicit, pre-committed criteria before data is seen — reducing the anchoring bias that distorts most deal processes.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THE 7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236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984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113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C1–C4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Buyer-specific (derived from acquiror's acquisition history and stated strategy)</w:t>
            </w:r>
          </w:p>
        </w:tc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Custom per buyer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C5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Regional &amp; Operational Fit — geography, cloud architecture, integration cost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Universal</w:t>
            </w:r>
          </w:p>
        </w:tc>
      </w:tr>
      <w:tr>
        <w:tc>
          <w:tcPr>
            <w:tcW w:type="dxa" w:w="113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C6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Revenue Synergy Potential — cross-sell to acquiror's customer base</w:t>
            </w:r>
          </w:p>
        </w:tc>
        <w:tc>
          <w:tcPr>
            <w:tcW w:type="dxa" w:w="1984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Universal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C7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Ease of Acquisition — ownership, regulatory risk, competitive tension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Universal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SCORE INTERPRETATION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386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118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TIER</w:t>
            </w:r>
          </w:p>
        </w:tc>
      </w:tr>
      <w:tr>
        <w:tc>
          <w:tcPr>
            <w:tcW w:type="dxa" w:w="850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5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Direct, traceable match to buyer's documented gap</w:t>
            </w:r>
          </w:p>
        </w:tc>
        <w:tc>
          <w:tcPr>
            <w:tcW w:type="dxa" w:w="311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Tier 1 — Proceed (30–35/35)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3–4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Partial alignment; meaningful but not perfect fit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Tier 2 — Monitor (22–29/35)</w:t>
            </w:r>
          </w:p>
        </w:tc>
      </w:tr>
      <w:tr>
        <w:tc>
          <w:tcPr>
            <w:tcW w:type="dxa" w:w="850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1–2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Friction point; multiple low scores = flag for review</w:t>
            </w:r>
          </w:p>
        </w:tc>
        <w:tc>
          <w:tcPr>
            <w:tcW w:type="dxa" w:w="311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Tier 3 — Discard (&lt;22/35)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COMMON DEAL-BREAKER RISKS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IP ownership dispute: </w:t>
      </w:r>
      <w:r>
        <w:rPr>
          <w:b w:val="0"/>
          <w:i w:val="0"/>
          <w:color w:val="2C2C2C"/>
          <w:sz w:val="19"/>
        </w:rPr>
        <w:t>You may not be acquiring what you think you're buying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Key-man dependency: </w:t>
      </w:r>
      <w:r>
        <w:rPr>
          <w:b w:val="0"/>
          <w:i w:val="0"/>
          <w:color w:val="2C2C2C"/>
          <w:sz w:val="19"/>
        </w:rPr>
        <w:t>Business value leaves with the founder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Revenue concentration: </w:t>
      </w:r>
      <w:r>
        <w:rPr>
          <w:b w:val="0"/>
          <w:i w:val="0"/>
          <w:color w:val="2C2C2C"/>
          <w:sz w:val="19"/>
        </w:rPr>
        <w:t>One customer &gt;30% of ARR that may churn post-deal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Regulatory approval: </w:t>
      </w:r>
      <w:r>
        <w:rPr>
          <w:b w:val="0"/>
          <w:i w:val="0"/>
          <w:color w:val="2C2C2C"/>
          <w:sz w:val="19"/>
        </w:rPr>
        <w:t>Sector regulators may block change of control</w:t>
      </w:r>
    </w:p>
    <w:p>
      <w:pPr>
        <w:pStyle w:val="ListBullet"/>
        <w:spacing w:before="20" w:after="40"/>
        <w:ind w:left="227"/>
      </w:pPr>
      <w:r>
        <w:rPr>
          <w:b/>
          <w:i w:val="0"/>
          <w:color w:val="2C2C2C"/>
          <w:sz w:val="19"/>
        </w:rPr>
        <w:t xml:space="preserve">Competitive bid: </w:t>
      </w:r>
      <w:r>
        <w:rPr>
          <w:b w:val="0"/>
          <w:i w:val="0"/>
          <w:color w:val="2C2C2C"/>
          <w:sz w:val="19"/>
        </w:rPr>
        <w:t>Another well-funded buyer forces an irrational price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05  </w:t>
            </w:r>
            <w:r>
              <w:rPr>
                <w:b/>
                <w:color w:val="FFFFFF"/>
                <w:sz w:val="20"/>
              </w:rPr>
              <w:t>TALKING POINTS — MEETING SCRIPT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OPEN (0–2 MIN)</w:t>
      </w:r>
    </w:p>
    <w:p>
      <w:pPr>
        <w:spacing w:before="40" w:after="120"/>
      </w:pPr>
      <w:r>
        <w:rPr>
          <w:b w:val="0"/>
          <w:i/>
          <w:color w:val="2C2C2C"/>
          <w:sz w:val="19"/>
        </w:rPr>
        <w:t>"This analysis screens [N] private companies in [sector] across [geography] against a 7-criterion rubric derived from [Buyer]'s own acquisition history. We ran a full DCF on the top-ranked target. I'll lead with the recommendation."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LEAD WITH THE RECOMMENDATION (2–5 MIN)</w:t>
      </w:r>
    </w:p>
    <w:p>
      <w:pPr>
        <w:spacing w:before="40" w:after="120"/>
      </w:pPr>
      <w:r>
        <w:rPr>
          <w:b w:val="0"/>
          <w:i/>
          <w:color w:val="2C2C2C"/>
          <w:sz w:val="19"/>
        </w:rPr>
        <w:t>"Our primary recommendation is [Company]. It scored [X/35] — the highest in the cohort — driven by [top 2 criteria]. It is the only company that directly addresses [buyer's gap]. Indicative acquisition price including a 20% synergy premium is €[X]M, implying [Y]× ARR."</w:t>
      </w:r>
    </w:p>
    <w:p>
      <w:pPr>
        <w:spacing w:before="160" w:after="40"/>
        <w:pBdr>
          <w:bottom w:val="single" w:sz="4" w:space="1" w:color="CC0605"/>
        </w:pBdr>
      </w:pPr>
      <w:r>
        <w:rPr>
          <w:b/>
          <w:i w:val="0"/>
          <w:color w:val="CC0605"/>
          <w:sz w:val="16"/>
        </w:rPr>
        <w:t>DEFENDING THE DCF (IF CHALLENGED)</w:t>
      </w:r>
    </w:p>
    <w:p>
      <w:pPr>
        <w:spacing w:before="60" w:after="40"/>
      </w:pPr>
      <w:r>
        <w:rPr>
          <w:b/>
          <w:i w:val="0"/>
          <w:color w:val="252850"/>
          <w:sz w:val="18"/>
        </w:rPr>
        <w:t>Q: Why is terminal value so large?</w:t>
      </w:r>
    </w:p>
    <w:p>
      <w:pPr>
        <w:spacing w:before="0" w:after="100"/>
      </w:pPr>
      <w:r>
        <w:rPr>
          <w:b w:val="0"/>
          <w:i/>
          <w:color w:val="2C2C2C"/>
          <w:sz w:val="18"/>
        </w:rPr>
        <w:t>"Structurally inherent to DCF on high-growth businesses. The terminal value uses 3% perpetuity growth — below GDP — deliberately conservative. It is not speculative."</w:t>
      </w:r>
    </w:p>
    <w:p>
      <w:pPr>
        <w:spacing w:before="60" w:after="40"/>
      </w:pPr>
      <w:r>
        <w:rPr>
          <w:b/>
          <w:i w:val="0"/>
          <w:color w:val="252850"/>
          <w:sz w:val="18"/>
        </w:rPr>
        <w:t>Q: How reliable is the financial data?</w:t>
      </w:r>
    </w:p>
    <w:p>
      <w:pPr>
        <w:spacing w:before="0" w:after="100"/>
      </w:pPr>
      <w:r>
        <w:rPr>
          <w:b w:val="0"/>
          <w:i/>
          <w:color w:val="2C2C2C"/>
          <w:sz w:val="18"/>
        </w:rPr>
        <w:t>"Indicative, based on public filings and sector benchmarks. The data room resolves material uncertainties. That is exactly why we recommend an NDA approach first."</w:t>
      </w:r>
    </w:p>
    <w:p>
      <w:pPr>
        <w:spacing w:before="60" w:after="40"/>
      </w:pPr>
      <w:r>
        <w:rPr>
          <w:b/>
          <w:i w:val="0"/>
          <w:color w:val="252850"/>
          <w:sz w:val="18"/>
        </w:rPr>
        <w:t>Q: Is the 20% synergy premium justifiable?</w:t>
      </w:r>
    </w:p>
    <w:p>
      <w:pPr>
        <w:spacing w:before="0" w:after="100"/>
      </w:pPr>
      <w:r>
        <w:rPr>
          <w:b w:val="0"/>
          <w:i/>
          <w:color w:val="2C2C2C"/>
          <w:sz w:val="18"/>
        </w:rPr>
        <w:t>"Stress-tested to zero synergies — the deal is still accretive at [X]× ARR on a standalone basis. The premium is what makes it worth paying above fair value."</w:t>
      </w:r>
    </w:p>
    <w:p>
      <w:pPr>
        <w:spacing w:before="60" w:after="40"/>
      </w:pPr>
      <w:r>
        <w:rPr>
          <w:b/>
          <w:i w:val="0"/>
          <w:color w:val="252850"/>
          <w:sz w:val="18"/>
        </w:rPr>
        <w:t>Q: What if founders won't sell?</w:t>
      </w:r>
    </w:p>
    <w:p>
      <w:pPr>
        <w:spacing w:before="0" w:after="100"/>
      </w:pPr>
      <w:r>
        <w:rPr>
          <w:b w:val="0"/>
          <w:i/>
          <w:color w:val="2C2C2C"/>
          <w:sz w:val="18"/>
        </w:rPr>
        <w:t>"The C7 score reflects our view on seller motivation. Next step is a discreet approach via [mutual investor / banker]. Hostile approaches in private M&amp;A destroy goodwill."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  <w:tcBorders>
              <w:left w:val="single" w:sz="24" w:space="0" w:color="CC0605"/>
              <w:top w:val="single" w:sz="4" w:space="0" w:color="252850"/>
              <w:right w:val="single" w:sz="4" w:space="0" w:color="252850"/>
              <w:bottom w:val="single" w:sz="4" w:space="0" w:color="252850"/>
            </w:tcBorders>
          </w:tcPr>
          <w:p>
            <w:pPr>
              <w:spacing w:before="80" w:after="80"/>
              <w:ind w:left="113"/>
            </w:pPr>
            <w:r>
              <w:rPr>
                <w:b/>
                <w:color w:val="CC0605"/>
                <w:sz w:val="18"/>
              </w:rPr>
              <w:t xml:space="preserve">06  </w:t>
            </w:r>
            <w:r>
              <w:rPr>
                <w:b/>
                <w:color w:val="FFFFFF"/>
                <w:sz w:val="20"/>
              </w:rPr>
              <w:t>KEY TERMS GLOSSARY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087"/>
            <w:shd w:val="clear" w:color="auto" w:fill="252850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ARR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Annual Recurring Revenue — annualised subscription contract value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NRR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Net Revenue Retention — % of ARR retained + expanded from existing customers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CAC / LTV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Customer Acquisition Cost / Lifetime Value. LTV/CAC &gt;3× = healthy unit economics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Rule of 40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Growth % + EBITDA Margin % ≥ 40 — benchmark for SaaS health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WACC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Weighted Average Cost of Capital — the DCF discount rate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Terminal Value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Present value of all cash flows beyond the 5-year forecast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EV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Enterprise Value — equity + debt − cash. Total business value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Equity Value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EV minus net debt. What shareholders actually receive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EBITDA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Earnings Before Interest, Tax, Depreciation &amp; Amortisation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FCF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Free Cash Flow — cash after capex, available to investors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Cap Table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Capitalisation table — who owns what % of the company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LOI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Letter of Intent — non-binding statement of deal terms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SPA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Share Purchase Agreement — the binding sale contract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QoE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Quality of Earnings — independent verification of financials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Earnout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Deferred consideration tied to post-close performance milestones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Dry Powder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Undeployed capital held by a fund, ready to invest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Buy-side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Advisory mandate for the acquiror (the buyer)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Sell-side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Advisory mandate for the company being sold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Strategic Buyer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 company buying for operational/product synergies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Financial Buyer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A private equity fund buying for financial return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Control Premium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40" w:after="40"/>
            </w:pPr>
            <w:r>
              <w:rPr>
                <w:b w:val="0"/>
                <w:color w:val="2C2C2C"/>
                <w:sz w:val="18"/>
              </w:rPr>
              <w:t>Extra price paid to acquire a majority controlling stake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52850"/>
          </w:tcPr>
          <w:p>
            <w:pPr>
              <w:spacing w:before="100" w:after="100"/>
              <w:ind w:left="170"/>
            </w:pPr>
            <w:r>
              <w:rPr>
                <w:color w:val="AAAACC"/>
                <w:sz w:val="16"/>
              </w:rPr>
              <w:t>GP Bullhound  ·  Technology Investment Banking  ·  Strictly Confidential  ·  Not for Distribution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