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1B3E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60" w:after="160"/>
            </w:pPr>
          </w:p>
        </w:tc>
      </w:tr>
    </w:tbl>
    <w:p/>
    <w:p>
      <w:pPr>
        <w:spacing w:before="240" w:after="80"/>
        <w:jc w:val="center"/>
      </w:pPr>
      <w:r>
        <w:rPr>
          <w:rFonts w:ascii="Calibri" w:hAnsi="Calibri"/>
          <w:b/>
          <w:i w:val="0"/>
          <w:color w:val="146EF5"/>
          <w:sz w:val="26"/>
        </w:rPr>
        <w:t>SUBMISSION 1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D1B3E"/>
          <w:sz w:val="56"/>
        </w:rPr>
        <w:t>The Map</w:t>
      </w:r>
    </w:p>
    <w:p>
      <w:pPr>
        <w:spacing w:before="80" w:after="80"/>
        <w:pBdr>
          <w:bottom w:val="single" w:sz="6" w:space="1" w:color="146EF5"/>
        </w:pBdr>
      </w:pPr>
    </w:p>
    <w:p>
      <w:pPr>
        <w:spacing w:before="200" w:after="80"/>
        <w:jc w:val="center"/>
      </w:pPr>
      <w:r>
        <w:rPr>
          <w:rFonts w:ascii="Calibri" w:hAnsi="Calibri"/>
          <w:b/>
          <w:color w:val="0D1B3E"/>
          <w:sz w:val="22"/>
        </w:rPr>
        <w:t xml:space="preserve">Role Applied For:  </w:t>
      </w:r>
      <w:r>
        <w:rPr>
          <w:rFonts w:ascii="Calibri" w:hAnsi="Calibri"/>
          <w:b w:val="0"/>
          <w:color w:val="1A1A2E"/>
          <w:sz w:val="22"/>
        </w:rPr>
        <w:t>AI Ops Engineer</w:t>
      </w:r>
      <w:r>
        <w:rPr>
          <w:rFonts w:ascii="Calibri" w:hAnsi="Calibri"/>
          <w:b w:val="0"/>
          <w:color w:val="606070"/>
          <w:sz w:val="22"/>
        </w:rPr>
        <w:t xml:space="preserve">   |   </w:t>
      </w:r>
      <w:r>
        <w:rPr>
          <w:rFonts w:ascii="Calibri" w:hAnsi="Calibri"/>
          <w:b/>
          <w:color w:val="0D1B3E"/>
          <w:sz w:val="22"/>
        </w:rPr>
        <w:t xml:space="preserve">Company:  </w:t>
      </w:r>
      <w:r>
        <w:rPr>
          <w:rFonts w:ascii="Calibri" w:hAnsi="Calibri"/>
          <w:b w:val="0"/>
          <w:color w:val="1A1A2E"/>
          <w:sz w:val="22"/>
        </w:rPr>
        <w:t>QuickMove / StampMyVisa</w:t>
      </w:r>
    </w:p>
    <w:p>
      <w:pPr>
        <w:spacing w:before="240" w:after="400"/>
      </w:pPr>
      <w:r>
        <w:rPr>
          <w:rFonts w:ascii="Calibri" w:hAnsi="Calibri"/>
          <w:b w:val="0"/>
          <w:i/>
          <w:color w:val="606070"/>
          <w:sz w:val="21"/>
        </w:rPr>
        <w:t>A complete system-level analysis of QuickMove's relocation operations — covering every workflow, stakeholder, handoff, dependency, health metric, automation opportunity, and hidden failure mode.</w:t>
      </w:r>
    </w:p>
    <w:p/>
    <w:p>
      <w:pPr>
        <w:spacing w:before="80" w:after="80"/>
        <w:pBdr>
          <w:bottom w:val="single" w:sz="6" w:space="1" w:color="146EF5"/>
        </w:pBdr>
      </w:pPr>
    </w:p>
    <w:p>
      <w:r>
        <w:br w:type="page"/>
      </w:r>
    </w:p>
    <w:p>
      <w:pPr>
        <w:spacing w:before="0" w:after="0"/>
        <w:jc w:val="left"/>
        <w:shd w:val="clear" w:color="auto" w:fill="0D1B3E"/>
      </w:pPr>
      <w:r>
        <w:rPr>
          <w:rFonts w:ascii="Calibri" w:hAnsi="Calibri"/>
          <w:b/>
          <w:i w:val="0"/>
          <w:color w:val="FFFFFF"/>
          <w:sz w:val="40"/>
        </w:rPr>
        <w:t>SECTION A — Understanding QuickMove as a System</w:t>
      </w:r>
    </w:p>
    <w:p>
      <w:pPr>
        <w:spacing w:before="160" w:after="200"/>
      </w:pPr>
      <w:r>
        <w:rPr>
          <w:rFonts w:ascii="Calibri" w:hAnsi="Calibri"/>
          <w:b w:val="0"/>
          <w:i w:val="0"/>
          <w:color w:val="1A1A2E"/>
          <w:sz w:val="21"/>
        </w:rPr>
        <w:t>QuickMove is not simply a relocation service — it is a multi-party coordination pipeline. Every relocation spans 4–8 weeks, involves 6–10 external parties, crosses city-specific regulatory and vendor landscapes, and must be orchestrated by a 5-person ops team currently relying entirely on WhatsApp, shared Google Sheets, and email. At 200+ relocations per month and 20% quarter-over-quarter growth, the operational complexity is compounding rapidly.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46EF5"/>
          <w:sz w:val="30"/>
        </w:rPr>
        <w:t>Core Services Delivered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b/>
          <w:color w:val="0D1B3E"/>
          <w:sz w:val="21"/>
        </w:rPr>
        <w:t xml:space="preserve">1.  Apartment Shortlisting  </w:t>
      </w:r>
      <w:r>
        <w:rPr>
          <w:rFonts w:ascii="Calibri" w:hAnsi="Calibri"/>
          <w:color w:val="1A1A2E"/>
          <w:sz w:val="21"/>
        </w:rPr>
        <w:t>Works with property partners across 8 cities to find and present rental options.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b/>
          <w:color w:val="0D1B3E"/>
          <w:sz w:val="21"/>
        </w:rPr>
        <w:t xml:space="preserve">2.  Packers &amp; Movers Booking  </w:t>
      </w:r>
      <w:r>
        <w:rPr>
          <w:rFonts w:ascii="Calibri" w:hAnsi="Calibri"/>
          <w:color w:val="1A1A2E"/>
          <w:sz w:val="21"/>
        </w:rPr>
        <w:t>Sources and books logistics vendors for physical household moves.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b/>
          <w:color w:val="0D1B3E"/>
          <w:sz w:val="21"/>
        </w:rPr>
        <w:t xml:space="preserve">3.  Utility Setup  </w:t>
      </w:r>
      <w:r>
        <w:rPr>
          <w:rFonts w:ascii="Calibri" w:hAnsi="Calibri"/>
          <w:color w:val="1A1A2E"/>
          <w:sz w:val="21"/>
        </w:rPr>
        <w:t>Arranges electricity, internet, gas, and water connections at the new address.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b/>
          <w:color w:val="0D1B3E"/>
          <w:sz w:val="21"/>
        </w:rPr>
        <w:t xml:space="preserve">4.  Address Change Management  </w:t>
      </w:r>
      <w:r>
        <w:rPr>
          <w:rFonts w:ascii="Calibri" w:hAnsi="Calibri"/>
          <w:color w:val="1A1A2E"/>
          <w:sz w:val="21"/>
        </w:rPr>
        <w:t>Manages document updates across banks, government IDs, and subscription services.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b/>
          <w:color w:val="0D1B3E"/>
          <w:sz w:val="21"/>
        </w:rPr>
        <w:t xml:space="preserve">5.  Post-Move Support  </w:t>
      </w:r>
      <w:r>
        <w:rPr>
          <w:rFonts w:ascii="Calibri" w:hAnsi="Calibri"/>
          <w:color w:val="1A1A2E"/>
          <w:sz w:val="21"/>
        </w:rPr>
        <w:t>Provides local orientation and handles issue resolution after move-in.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146EF5"/>
          <w:sz w:val="30"/>
        </w:rPr>
        <w:t>Scale &amp; 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2" w:space="0" w:color="146EF5"/>
              <w:bottom w:val="single" w:sz="4" w:space="0" w:color="CCDDFF"/>
              <w:right w:val="single" w:sz="4" w:space="0" w:color="CCDD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46EF5"/>
                <w:sz w:val="20"/>
              </w:rPr>
              <w:t xml:space="preserve">⚡ Key Insight:  </w:t>
            </w:r>
            <w:r>
              <w:rPr>
                <w:rFonts w:ascii="Calibri" w:hAnsi="Calibri"/>
                <w:color w:val="1A1A2E"/>
                <w:sz w:val="20"/>
              </w:rPr>
              <w:t>A relocation to Bengaluru looks completely different from one to Pune. Different property partners, different moving vendors, different utility providers, different documentation requirements, and different timelines — per city. This is not one operation. It is 8 parallel city-specific operations running simultaneously.</w:t>
            </w:r>
          </w:p>
        </w:tc>
      </w:tr>
    </w:tbl>
    <w:p/>
    <w:p>
      <w:pPr>
        <w:spacing w:before="200" w:after="120"/>
        <w:jc w:val="left"/>
      </w:pPr>
      <w:r>
        <w:rPr>
          <w:rFonts w:ascii="Calibri" w:hAnsi="Calibri"/>
          <w:b/>
          <w:i w:val="0"/>
          <w:color w:val="146EF5"/>
          <w:sz w:val="30"/>
        </w:rPr>
        <w:t>All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4320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880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Primary Channel</w:t>
            </w:r>
          </w:p>
        </w:tc>
      </w:tr>
      <w:tr>
        <w:tc>
          <w:tcPr>
            <w:tcW w:type="dxa" w:w="25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</w:t>
            </w:r>
          </w:p>
        </w:tc>
        <w:tc>
          <w:tcPr>
            <w:tcW w:type="dxa" w:w="43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The individual or family relocating to a new city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WhatsApp, Email, Phone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QuickMove Ops Team (×5)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On-ground coordination across all services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WhatsApp, Google Sheets, Email</w:t>
            </w:r>
          </w:p>
        </w:tc>
      </w:tr>
      <w:tr>
        <w:tc>
          <w:tcPr>
            <w:tcW w:type="dxa" w:w="25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Property Partners</w:t>
            </w:r>
          </w:p>
        </w:tc>
        <w:tc>
          <w:tcPr>
            <w:tcW w:type="dxa" w:w="43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Landlords, real estate agents, housing platforms — city-specific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WhatsApp, Phone, Email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Logistics / Moving Vendors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Packers &amp; movers companies at source city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WhatsApp, Phone</w:t>
            </w:r>
          </w:p>
        </w:tc>
      </w:tr>
      <w:tr>
        <w:tc>
          <w:tcPr>
            <w:tcW w:type="dxa" w:w="25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Utility Providers</w:t>
            </w:r>
          </w:p>
        </w:tc>
        <w:tc>
          <w:tcPr>
            <w:tcW w:type="dxa" w:w="43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Electricity boards, ISPs, gas agencies, water boards — city-specific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Portal, Phone, In-person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Banks &amp; Financial Institutions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Address change processing on bank accounts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Branch, Net Banking Portal</w:t>
            </w:r>
          </w:p>
        </w:tc>
      </w:tr>
      <w:tr>
        <w:tc>
          <w:tcPr>
            <w:tcW w:type="dxa" w:w="25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Government Bodies</w:t>
            </w:r>
          </w:p>
        </w:tc>
        <w:tc>
          <w:tcPr>
            <w:tcW w:type="dxa" w:w="43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Aadhaar, RTO, Passport Authority, Election Commission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In-person, Government Portals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Building Management / RWA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NOC letters, parking allocation, move-in permissions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In-person, WhatsApp</w:t>
            </w:r>
          </w:p>
        </w:tc>
      </w:tr>
      <w:tr>
        <w:tc>
          <w:tcPr>
            <w:tcW w:type="dxa" w:w="25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Subscription Services</w:t>
            </w:r>
          </w:p>
        </w:tc>
        <w:tc>
          <w:tcPr>
            <w:tcW w:type="dxa" w:w="43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Amazon, insurance, OTTs, and other delivery/billing services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App / Customer Portal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Previous Landlord / Society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Security deposit refund, NOC, utility meter disconnection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WhatsApp, In-person</w:t>
            </w:r>
          </w:p>
        </w:tc>
      </w:tr>
      <w:tr>
        <w:tc>
          <w:tcPr>
            <w:tcW w:type="dxa" w:w="25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Destination City Local Contacts</w:t>
            </w:r>
          </w:p>
        </w:tc>
        <w:tc>
          <w:tcPr>
            <w:tcW w:type="dxa" w:w="43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Area-specific fixers, plumbers, electricians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WhatsApp</w:t>
            </w:r>
          </w:p>
        </w:tc>
      </w:tr>
    </w:tbl>
    <w:p/>
    <w:p>
      <w:r>
        <w:br w:type="page"/>
      </w:r>
    </w:p>
    <w:p>
      <w:pPr>
        <w:spacing w:before="0" w:after="0"/>
        <w:jc w:val="left"/>
        <w:shd w:val="clear" w:color="auto" w:fill="0D1B3E"/>
      </w:pPr>
      <w:r>
        <w:rPr>
          <w:rFonts w:ascii="Calibri" w:hAnsi="Calibri"/>
          <w:b/>
          <w:i w:val="0"/>
          <w:color w:val="FFFFFF"/>
          <w:sz w:val="40"/>
        </w:rPr>
        <w:t>SECTION B — Complete Workflow Map (28 Workflows)</w:t>
      </w:r>
    </w:p>
    <w:p>
      <w:pPr>
        <w:spacing w:before="160" w:after="200"/>
      </w:pPr>
      <w:r>
        <w:rPr>
          <w:rFonts w:ascii="Calibri" w:hAnsi="Calibri"/>
          <w:b w:val="0"/>
          <w:i w:val="0"/>
          <w:color w:val="1A1A2E"/>
          <w:sz w:val="21"/>
        </w:rPr>
        <w:t>The six operational phases below cover every workflow in the QuickMove system — from the moment a customer enquires to 30 days post-move. Each workflow is described with its trigger, key steps, and handoff to downstream workflows.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A4DAA"/>
          <w:sz w:val="26"/>
        </w:rPr>
        <w:t>PHASE 0 — Customer Acquisition &amp; Onboarding</w:t>
      </w:r>
    </w:p>
    <w:p>
      <w:pPr>
        <w:spacing w:before="80" w:after="80"/>
        <w:pBdr>
          <w:bottom w:val="single" w:sz="6" w:space="1" w:color="1A4DA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1A4DAA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4DAA"/>
                <w:sz w:val="21"/>
              </w:rPr>
              <w:t xml:space="preserve">WF01  </w:t>
            </w:r>
            <w:r>
              <w:rPr>
                <w:rFonts w:ascii="Calibri" w:hAnsi="Calibri"/>
                <w:b/>
                <w:color w:val="0D1B3E"/>
                <w:sz w:val="21"/>
              </w:rPr>
              <w:t>Lead Intake &amp; Qualification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Customer enquiry via website, referral, or WhatsApp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Collect source city, destination city, preferred move date, family size, and budget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Qualify: Is this city pair serviceable? Is the timeline feasible?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Assign relocation to an ops team member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Create relocation record in Google Sheets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WF02 (Requirements Gathering)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1A4DAA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4DAA"/>
                <w:sz w:val="21"/>
              </w:rPr>
              <w:t xml:space="preserve">WF02  </w:t>
            </w:r>
            <w:r>
              <w:rPr>
                <w:rFonts w:ascii="Calibri" w:hAnsi="Calibri"/>
                <w:b/>
                <w:color w:val="0D1B3E"/>
                <w:sz w:val="21"/>
              </w:rPr>
              <w:t>Requirements Gathering &amp; Customer Profiling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Relocation assigned to ops person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Structured intake call/form: apartment preferences (BHK, locality, budget, furnished/unfurnished, pet policy, parking, floor preference)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Moving inventory: furniture list, fragile items, vehicle transport need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Document status check: Aadhaar, PAN, employment proof, recent bank statement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Utility preferences: internet provider choice, LPG vs piped gas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Store complete profile in Google Sheet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WF03, WF04, WF08, WF12 (triggered simultaneously)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1A4DAA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A4DAA"/>
                <w:sz w:val="21"/>
              </w:rPr>
              <w:t xml:space="preserve">WF03  </w:t>
            </w:r>
            <w:r>
              <w:rPr>
                <w:rFonts w:ascii="Calibri" w:hAnsi="Calibri"/>
                <w:b/>
                <w:color w:val="0D1B3E"/>
                <w:sz w:val="21"/>
              </w:rPr>
              <w:t>City-Specific SOP Lookup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Destination city confirmed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Identify which property partners are active in destination city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Identify active moving vendors in source city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Retrieve city-specific documentation checklist for utilities and address changes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Note city-specific regulatory requirements (RWA police verification, RERA compliance, etc.)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WF04, WF08, WF12 — informs all downstream workflows with city context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46EF5"/>
          <w:sz w:val="26"/>
        </w:rPr>
        <w:t>PHASE 1 — Apartment Finding &amp; Booking</w:t>
      </w:r>
    </w:p>
    <w:p>
      <w:pPr>
        <w:spacing w:before="80" w:after="80"/>
        <w:pBdr>
          <w:bottom w:val="single" w:sz="6" w:space="1" w:color="146EF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146EF5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46EF5"/>
                <w:sz w:val="21"/>
              </w:rPr>
              <w:t xml:space="preserve">WF04  </w:t>
            </w:r>
            <w:r>
              <w:rPr>
                <w:rFonts w:ascii="Calibri" w:hAnsi="Calibri"/>
                <w:b/>
                <w:color w:val="0D1B3E"/>
                <w:sz w:val="21"/>
              </w:rPr>
              <w:t>Property Partner Outreach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Customer profile complete + city SOP retrieved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Identify 3–5 active property partners in destination city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Send customer requirements to partners via WhatsApp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Follow up if no response within 24 hours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Collect listings (photos, rent, deposit, possession date, terms)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WF05 (Shortlisting)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146EF5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46EF5"/>
                <w:sz w:val="21"/>
              </w:rPr>
              <w:t xml:space="preserve">WF05  </w:t>
            </w:r>
            <w:r>
              <w:rPr>
                <w:rFonts w:ascii="Calibri" w:hAnsi="Calibri"/>
                <w:b/>
                <w:color w:val="0D1B3E"/>
                <w:sz w:val="21"/>
              </w:rPr>
              <w:t>Apartment Shortlisting &amp; Presentation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Listings received from property partners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Filter listings against customer requirements (budget, BHK, locality, pet/parking policy)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Curate a shortlist of 3–5 best matches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Present to customer via WhatsApp (photos, voice notes, key highlights)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Collect customer feedback — iterate if no matches found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Loop back to WF04 if no match; WF06 when 1–2 apartments shortlisted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146EF5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46EF5"/>
                <w:sz w:val="21"/>
              </w:rPr>
              <w:t xml:space="preserve">WF06  </w:t>
            </w:r>
            <w:r>
              <w:rPr>
                <w:rFonts w:ascii="Calibri" w:hAnsi="Calibri"/>
                <w:b/>
                <w:color w:val="0D1B3E"/>
                <w:sz w:val="21"/>
              </w:rPr>
              <w:t>Viewing Coordination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Customer approves shortlist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Schedule video call viewing between customer and property partner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Coordinate availability of all 3 parties (customer, partner, ops)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Handle reschedules if any party is unavailable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Customer selects preferred apartment(s) from viewing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WF07 (Agreement &amp; Booking)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146EF5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46EF5"/>
                <w:sz w:val="21"/>
              </w:rPr>
              <w:t xml:space="preserve">WF07  </w:t>
            </w:r>
            <w:r>
              <w:rPr>
                <w:rFonts w:ascii="Calibri" w:hAnsi="Calibri"/>
                <w:b/>
                <w:color w:val="0D1B3E"/>
                <w:sz w:val="21"/>
              </w:rPr>
              <w:t>Agreement &amp; Booking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Customer confirms interest in a specific apartment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Negotiate rent, deposit, and lock-in terms with property partner on customer's behalf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Review rental agreement for unfair clauses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Coordinate token payment from customer to landlord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Confirm possession date — this locks in the move date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Collect signed agreement copy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Update Google Sheet with confirmed apartment and move date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WF08 (triggers move date lock-in for packers), WF09 (building documentation begins)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0A7C4E"/>
          <w:sz w:val="26"/>
        </w:rPr>
        <w:t>PHASE 2 — Packers &amp; Movers</w:t>
      </w:r>
    </w:p>
    <w:p>
      <w:pPr>
        <w:spacing w:before="80" w:after="80"/>
        <w:pBdr>
          <w:bottom w:val="single" w:sz="6" w:space="1" w:color="0A7C4E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0A7C4E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7C4E"/>
                <w:sz w:val="21"/>
              </w:rPr>
              <w:t xml:space="preserve">WF08  </w:t>
            </w:r>
            <w:r>
              <w:rPr>
                <w:rFonts w:ascii="Calibri" w:hAnsi="Calibri"/>
                <w:b/>
                <w:color w:val="0D1B3E"/>
                <w:sz w:val="21"/>
              </w:rPr>
              <w:t>Moving Vendor Selection &amp; Quoting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Move date confirmed (from WF07)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Source 2–3 vendor quotes from logistics partners in source city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Share customer's inventory list with vendors (volume, special items, vehicle transport if needed)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Collect quotes (price, date availability, vehicle size, insurance)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Present comparison to customer with recommendation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WF09 (Vendor Booking)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0A7C4E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7C4E"/>
                <w:sz w:val="21"/>
              </w:rPr>
              <w:t xml:space="preserve">WF09  </w:t>
            </w:r>
            <w:r>
              <w:rPr>
                <w:rFonts w:ascii="Calibri" w:hAnsi="Calibri"/>
                <w:b/>
                <w:color w:val="0D1B3E"/>
                <w:sz w:val="21"/>
              </w:rPr>
              <w:t>Moving Booking &amp; Confirmation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Customer selects vendor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Confirm booking with vendor and coordinate advance payment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Share exact pickup address and destination address with vendor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Confirm agreed time window for move day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Create move day coordination plan (timeline, contact numbers)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WF10 (Pre-Move Coordination)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0A7C4E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7C4E"/>
                <w:sz w:val="21"/>
              </w:rPr>
              <w:t xml:space="preserve">WF10  </w:t>
            </w:r>
            <w:r>
              <w:rPr>
                <w:rFonts w:ascii="Calibri" w:hAnsi="Calibri"/>
                <w:b/>
                <w:color w:val="0D1B3E"/>
                <w:sz w:val="21"/>
              </w:rPr>
              <w:t>Pre-Move Coordination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7 days before move date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Brief customer on packing preparation (fragile labeling, personal valuables, essentials bag)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Obtain NOC from source building/society for moving truck access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Obtain NOC/permission from destination building/society for truck entry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Book elevator if high-rise building at either end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Arrange parking permit for truck at both locations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Confirm all vendor details (driver name, vehicle number, emergency contact)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WF11 (Move Day Operations)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0A7C4E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A7C4E"/>
                <w:sz w:val="21"/>
              </w:rPr>
              <w:t xml:space="preserve">WF11  </w:t>
            </w:r>
            <w:r>
              <w:rPr>
                <w:rFonts w:ascii="Calibri" w:hAnsi="Calibri"/>
                <w:b/>
                <w:color w:val="0D1B3E"/>
                <w:sz w:val="21"/>
              </w:rPr>
              <w:t>Move Day Operations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Move day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Ops person on WhatsApp standby from vendor dispatch time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Confirm vendor departure from source address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Track transit and confirm ETA at destination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Coordinate vendor entry at destination society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Handle real-time issues: truck breakdown, driver dispute, access problem, item damage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Customer confirms all items received and in good condition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Collect proof of delivery confirmation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WF12–WF15 (Utility setup begins), WF16–WF19 (Address changes begin)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8B2FC9"/>
          <w:sz w:val="26"/>
        </w:rPr>
        <w:t>PHASE 3 — Utility Setup</w:t>
      </w:r>
    </w:p>
    <w:p>
      <w:pPr>
        <w:spacing w:before="80" w:after="80"/>
        <w:pBdr>
          <w:bottom w:val="single" w:sz="6" w:space="1" w:color="8B2FC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8B2FC9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8B2FC9"/>
                <w:sz w:val="21"/>
              </w:rPr>
              <w:t xml:space="preserve">WF12  </w:t>
            </w:r>
            <w:r>
              <w:rPr>
                <w:rFonts w:ascii="Calibri" w:hAnsi="Calibri"/>
                <w:b/>
                <w:color w:val="0D1B3E"/>
                <w:sz w:val="21"/>
              </w:rPr>
              <w:t>Electricity Connection Setup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Move date confirmed (ideally start 2 weeks before move-in)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Identify correct electricity distribution company for destination address (city + area specific)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Determine: new connection OR meter transfer from previous tenant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Collect required documents from customer (ID proof, address proof, previous bill or NOC from landlord)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Submit application via online portal or in-person (varies by city/board)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Track application status and follow up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Coordinate meter installation appointment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Confirm connection active and meter reading recorded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WF21 (Issue Resolution) if delays or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8B2FC9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8B2FC9"/>
                <w:sz w:val="21"/>
              </w:rPr>
              <w:t xml:space="preserve">WF13  </w:t>
            </w:r>
            <w:r>
              <w:rPr>
                <w:rFonts w:ascii="Calibri" w:hAnsi="Calibri"/>
                <w:b/>
                <w:color w:val="0D1B3E"/>
                <w:sz w:val="21"/>
              </w:rPr>
              <w:t>Internet Setup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Move-in date confirmed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Check ISP availability at destination building/tower level (not just area level)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Present available ISP options and plans to customer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Customer selects ISP and plan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Submit installation request with ISP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Coordinate engineer visit date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Follow up on delays (very common — schedule slippage by ISP technicians)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Confirm connection active and test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WF21 if not resolved within 7 days of move-in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8B2FC9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8B2FC9"/>
                <w:sz w:val="21"/>
              </w:rPr>
              <w:t xml:space="preserve">WF14  </w:t>
            </w:r>
            <w:r>
              <w:rPr>
                <w:rFonts w:ascii="Calibri" w:hAnsi="Calibri"/>
                <w:b/>
                <w:color w:val="0D1B3E"/>
                <w:sz w:val="21"/>
              </w:rPr>
              <w:t>Gas Connection Setup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Move-in date confirmed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Determine: piped natural gas (PNG) or LPG cylinder connection for the building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If PNG: Apply to city gas distribution company; may require pipeline installation inside flat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If LPG: Transfer existing cylinder connection to new address OR arrange new Indane/HP/Bharat gas connection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Coordinate safety inspection if required by provider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Confirm connection active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WF21 if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8B2FC9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8B2FC9"/>
                <w:sz w:val="21"/>
              </w:rPr>
              <w:t xml:space="preserve">WF15  </w:t>
            </w:r>
            <w:r>
              <w:rPr>
                <w:rFonts w:ascii="Calibri" w:hAnsi="Calibri"/>
                <w:b/>
                <w:color w:val="0D1B3E"/>
                <w:sz w:val="21"/>
              </w:rPr>
              <w:t>Water Connection (Where Applicable)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Move-in date confirmed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Determine if water is included in rent or requires separate municipal connection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If separate: Apply to municipal water authority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Collect NOC from RWA if required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Coordinate municipal inspection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Set customer expectation: municipal water connections can take weeks to months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Confirm activation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WF21 for ongoing follow-up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C47A00"/>
          <w:sz w:val="26"/>
        </w:rPr>
        <w:t>PHASE 4 — Address Change Management</w:t>
      </w:r>
    </w:p>
    <w:p>
      <w:pPr>
        <w:spacing w:before="80" w:after="80"/>
        <w:pBdr>
          <w:bottom w:val="single" w:sz="6" w:space="1" w:color="C47A0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C47A00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C47A00"/>
                <w:sz w:val="21"/>
              </w:rPr>
              <w:t xml:space="preserve">WF16  </w:t>
            </w:r>
            <w:r>
              <w:rPr>
                <w:rFonts w:ascii="Calibri" w:hAnsi="Calibri"/>
                <w:b/>
                <w:color w:val="0D1B3E"/>
                <w:sz w:val="21"/>
              </w:rPr>
              <w:t>Aadhaar Address Update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Within 7 days of move-in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Check if Aadhaar-linked mobile number is active (required for OTP-based online update)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If number inactive: guide customer to Aadhaar Seva Kendra for biometric update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If number active: guide customer through UIDAI portal or mAadhaar app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Submit update request and track status (7–30 day processing time)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Confirm updated Aadhaar received (post or e-Aadhaar download)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WF17 (Aadhaar often used as address proof for bank changes)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C47A00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C47A00"/>
                <w:sz w:val="21"/>
              </w:rPr>
              <w:t xml:space="preserve">WF17  </w:t>
            </w:r>
            <w:r>
              <w:rPr>
                <w:rFonts w:ascii="Calibri" w:hAnsi="Calibri"/>
                <w:b/>
                <w:color w:val="0D1B3E"/>
                <w:sz w:val="21"/>
              </w:rPr>
              <w:t>Bank Account Address Change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Move-in complete + new address confirmed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Map all bank accounts held by customer (ask comprehensively)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For each bank: identify online vs branch process (PSU banks often require original documents at home branch)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Guide customer through each bank's address change process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Track confirmation (SMS, letter, or portal update)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Confirm all accounts updated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WF18 (other ID documents)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C47A00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C47A00"/>
                <w:sz w:val="21"/>
              </w:rPr>
              <w:t xml:space="preserve">WF18  </w:t>
            </w:r>
            <w:r>
              <w:rPr>
                <w:rFonts w:ascii="Calibri" w:hAnsi="Calibri"/>
                <w:b/>
                <w:color w:val="0D1B3E"/>
                <w:sz w:val="21"/>
              </w:rPr>
              <w:t>PAN &amp; Other Government ID Updates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Post-move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PAN card address update via NSDL/UTI portal (note: address on PAN is not publicly displayed but required for KYC)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Driving license address update via Parivahan portal or physical RTO visit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Voter ID: If city change = constituency change; requires deletion from old constituency + fresh enrollment in new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Passport address update if applicable (PSK or Passport Sewa Kendra)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Track each submission independently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WF19 (subscriptions and services)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C47A00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C47A00"/>
                <w:sz w:val="21"/>
              </w:rPr>
              <w:t xml:space="preserve">WF19  </w:t>
            </w:r>
            <w:r>
              <w:rPr>
                <w:rFonts w:ascii="Calibri" w:hAnsi="Calibri"/>
                <w:b/>
                <w:color w:val="0D1B3E"/>
                <w:sz w:val="21"/>
              </w:rPr>
              <w:t>Subscription &amp; Service Address Updates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Parallel to WF16–WF18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Collect comprehensive list of subscriptions from customer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Update delivery address: Amazon, Flipkart, BigBasket, etc.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Update OTT/streaming and digital services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Update insurance policies: health, life, vehicle (especially for cashless claims at new city hospitals)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Update employer HR records (impacts salary slips, Form 16)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Update any professional memberships or registrations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WF20 (Post-Move Support phase begins)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B01E28"/>
          <w:sz w:val="26"/>
        </w:rPr>
        <w:t>PHASE 5 — Post-Move Support &amp; Internal Operations</w:t>
      </w:r>
    </w:p>
    <w:p>
      <w:pPr>
        <w:spacing w:before="80" w:after="80"/>
        <w:pBdr>
          <w:bottom w:val="single" w:sz="6" w:space="1" w:color="B01E2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B01E28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01E28"/>
                <w:sz w:val="21"/>
              </w:rPr>
              <w:t xml:space="preserve">WF20  </w:t>
            </w:r>
            <w:r>
              <w:rPr>
                <w:rFonts w:ascii="Calibri" w:hAnsi="Calibri"/>
                <w:b/>
                <w:color w:val="0D1B3E"/>
                <w:sz w:val="21"/>
              </w:rPr>
              <w:t>Local Orientation Briefing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Within 48 hours of move-in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Share curated local guide: nearest hospitals, grocery stores, pharmacies, police station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Metro/bus routes and auto/cab availability in the locality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Trusted local service providers: plumbers, electricians, maids, drivers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City-specific norms: parking rules, waste disposal schedule, society rules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Closes the primary relocation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B01E28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01E28"/>
                <w:sz w:val="21"/>
              </w:rPr>
              <w:t xml:space="preserve">WF21  </w:t>
            </w:r>
            <w:r>
              <w:rPr>
                <w:rFonts w:ascii="Calibri" w:hAnsi="Calibri"/>
                <w:b/>
                <w:color w:val="0D1B3E"/>
                <w:sz w:val="21"/>
              </w:rPr>
              <w:t>Issue Resolution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Customer reports any issue post-move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Triage: Which vendor/partner/service is responsible for the issue?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Escalate to relevant party with context and deadline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Track to resolution — follow up daily if open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Update customer with status at least every 48 hours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Document resolution for future SOP improvement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WF22 (Feedback collection after resolution)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B01E28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01E28"/>
                <w:sz w:val="21"/>
              </w:rPr>
              <w:t xml:space="preserve">WF22  </w:t>
            </w:r>
            <w:r>
              <w:rPr>
                <w:rFonts w:ascii="Calibri" w:hAnsi="Calibri"/>
                <w:b/>
                <w:color w:val="0D1B3E"/>
                <w:sz w:val="21"/>
              </w:rPr>
              <w:t>Feedback Collection &amp; NPS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7 days after move-in (or after issue resolution if delayed)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Send NPS survey and service-specific rating form to customer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Collect ratings per service: apartment, moving, utilities, address change, support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Identify partners with poor performance ratings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Document learnings and feed into WF23/WF24 (vendor management)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WF24 (Vendor performance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B01E28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01E28"/>
                <w:sz w:val="21"/>
              </w:rPr>
              <w:t xml:space="preserve">WF23  </w:t>
            </w:r>
            <w:r>
              <w:rPr>
                <w:rFonts w:ascii="Calibri" w:hAnsi="Calibri"/>
                <w:b/>
                <w:color w:val="0D1B3E"/>
                <w:sz w:val="21"/>
              </w:rPr>
              <w:t>Vendor Onboarding &amp; Management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New city expansion or underperforming vendor replacement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Identify and vet new property partners and moving vendors per city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Collect: pricing, service area, capacity, references, insurance certificates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Onboard to vendor database with city, category, contact, and SLA terms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Deactivate vendors with consistently low ratings or SLA breaches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Active vendor pool feeds all WF04/WF08 outreach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B01E28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01E28"/>
                <w:sz w:val="21"/>
              </w:rPr>
              <w:t xml:space="preserve">WF24  </w:t>
            </w:r>
            <w:r>
              <w:rPr>
                <w:rFonts w:ascii="Calibri" w:hAnsi="Calibri"/>
                <w:b/>
                <w:color w:val="0D1B3E"/>
                <w:sz w:val="21"/>
              </w:rPr>
              <w:t>Vendor Performance Tracking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Monthly cycle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Aggregate customer ratings and internal SLA data per vendor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Score each vendor on: on-time rate, complaint rate, responsiveness, customer satisfaction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Quarterly review meeting with top and bottom performers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Adjust vendor priority or deactivate as needed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Feeds back to WF23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B01E28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01E28"/>
                <w:sz w:val="21"/>
              </w:rPr>
              <w:t xml:space="preserve">WF25  </w:t>
            </w:r>
            <w:r>
              <w:rPr>
                <w:rFonts w:ascii="Calibri" w:hAnsi="Calibri"/>
                <w:b/>
                <w:color w:val="0D1B3E"/>
                <w:sz w:val="21"/>
              </w:rPr>
              <w:t>Billing &amp; Payment Processing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Milestone completion (booking, move completion, utility activation)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Generate and send invoice to customer at each milestone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Track advance payments and final settlement to vendors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Reconcile payments and outstanding amounts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Process refund requests with documented justification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Ongoing throughout relocation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B01E28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01E28"/>
                <w:sz w:val="21"/>
              </w:rPr>
              <w:t xml:space="preserve">WF26  </w:t>
            </w:r>
            <w:r>
              <w:rPr>
                <w:rFonts w:ascii="Calibri" w:hAnsi="Calibri"/>
                <w:b/>
                <w:color w:val="0D1B3E"/>
                <w:sz w:val="21"/>
              </w:rPr>
              <w:t>Team Task Assignment &amp; Workload Management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New relocation onboarded or ops team member on leave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Assign each new relocation to an ops team member based on current workload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Ensure balanced distribution across 5 team members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Define clear handover protocol when team member is on leave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Weekly workload review to identify overloaded ops people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Governs all other workflows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B01E28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01E28"/>
                <w:sz w:val="21"/>
              </w:rPr>
              <w:t xml:space="preserve">WF27  </w:t>
            </w:r>
            <w:r>
              <w:rPr>
                <w:rFonts w:ascii="Calibri" w:hAnsi="Calibri"/>
                <w:b/>
                <w:color w:val="0D1B3E"/>
                <w:sz w:val="21"/>
              </w:rPr>
              <w:t>Documentation &amp; Record Management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At every milestone across the relocation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Store all customer documents, agreements, vendor contracts in organized folder structure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Maintain complete relocation timeline with all decisions and actions logged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Store proof of delivery, utility confirmations, address change acknowledgements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Maintain searchable relocation history for repeat customers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Reference point for WF21 (Issue Resolution) and WF25 (Billing disputes)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F"/>
            <w:tcBorders>
              <w:top w:val="single" w:sz="4" w:space="0" w:color="CCDDFF"/>
              <w:left w:val="single" w:sz="16" w:space="0" w:color="B01E28"/>
              <w:bottom w:val="single" w:sz="4" w:space="0" w:color="CCDDFF"/>
              <w:right w:val="single" w:sz="4" w:space="0" w:color="CCDDF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B01E28"/>
                <w:sz w:val="21"/>
              </w:rPr>
              <w:t xml:space="preserve">WF28  </w:t>
            </w:r>
            <w:r>
              <w:rPr>
                <w:rFonts w:ascii="Calibri" w:hAnsi="Calibri"/>
                <w:b/>
                <w:color w:val="0D1B3E"/>
                <w:sz w:val="21"/>
              </w:rPr>
              <w:t>SLA Tracking &amp; Escalation</w:t>
            </w:r>
          </w:p>
        </w:tc>
      </w:tr>
    </w:tbl>
    <w:p/>
    <w:p>
      <w:pPr>
        <w:spacing w:before="0" w:after="40"/>
        <w:ind w:left="227"/>
      </w:pPr>
      <w:r>
        <w:rPr>
          <w:rFonts w:ascii="Calibri" w:hAnsi="Calibri"/>
          <w:b/>
          <w:color w:val="146EF5"/>
          <w:sz w:val="20"/>
        </w:rPr>
        <w:t xml:space="preserve">Trigger: </w:t>
      </w:r>
      <w:r>
        <w:rPr>
          <w:rFonts w:ascii="Calibri" w:hAnsi="Calibri"/>
          <w:color w:val="1A1A2E"/>
          <w:sz w:val="20"/>
        </w:rPr>
        <w:t>Continuous — runs parallel to all other workflows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Define SLA timers for every workflow stage (e.g., shortlist within 5 days, electricity within 7 days of move-in)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Monitor active timers — flag any workflow that is approaching or past SLA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Escalation path: ops person → ops lead → management</w:t>
      </w:r>
    </w:p>
    <w:p>
      <w:pPr>
        <w:pStyle w:val="ListBullet"/>
        <w:spacing w:before="20" w:after="60"/>
        <w:ind w:left="454"/>
      </w:pPr>
      <w:r>
        <w:rPr>
          <w:rFonts w:ascii="Calibri" w:hAnsi="Calibri"/>
          <w:color w:val="1A1A2E"/>
          <w:sz w:val="21"/>
        </w:rPr>
        <w:t>Weekly SLA health report across all active relocations</w:t>
      </w:r>
    </w:p>
    <w:p>
      <w:pPr>
        <w:spacing w:before="40" w:after="160"/>
        <w:ind w:left="227"/>
      </w:pPr>
      <w:r>
        <w:rPr>
          <w:rFonts w:ascii="Calibri" w:hAnsi="Calibri"/>
          <w:b/>
          <w:color w:val="167A3F"/>
          <w:sz w:val="20"/>
        </w:rPr>
        <w:t xml:space="preserve">Handoff → </w:t>
      </w:r>
      <w:r>
        <w:rPr>
          <w:rFonts w:ascii="Calibri" w:hAnsi="Calibri"/>
          <w:color w:val="1A1A2E"/>
          <w:sz w:val="20"/>
        </w:rPr>
        <w:t>Feeds into WF22 (feedback) and WF24 (vendor performance)</w:t>
      </w:r>
    </w:p>
    <w:p>
      <w:r>
        <w:br w:type="page"/>
      </w:r>
    </w:p>
    <w:p>
      <w:pPr>
        <w:spacing w:before="0" w:after="0"/>
        <w:jc w:val="left"/>
        <w:shd w:val="clear" w:color="auto" w:fill="0D1B3E"/>
      </w:pPr>
      <w:r>
        <w:rPr>
          <w:rFonts w:ascii="Calibri" w:hAnsi="Calibri"/>
          <w:b/>
          <w:i w:val="0"/>
          <w:color w:val="FFFFFF"/>
          <w:sz w:val="40"/>
        </w:rPr>
        <w:t>SECTION C — Health Metrics for Every Workflow</w:t>
      </w:r>
    </w:p>
    <w:p>
      <w:pPr>
        <w:spacing w:before="160" w:after="200"/>
      </w:pPr>
      <w:r>
        <w:rPr>
          <w:rFonts w:ascii="Calibri" w:hAnsi="Calibri"/>
          <w:b w:val="0"/>
          <w:i w:val="0"/>
          <w:color w:val="1A1A2E"/>
          <w:sz w:val="21"/>
        </w:rPr>
        <w:t>For each workflow, I define a Leading Indicator (warns of future problems), a Lagging Indicator (measures past performance), and a Target. This provides both predictive and retrospective visibility into operational health.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20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160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Workflow</w:t>
            </w:r>
          </w:p>
        </w:tc>
        <w:tc>
          <w:tcPr>
            <w:tcW w:type="dxa" w:w="3024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Leading Indicator</w:t>
            </w:r>
          </w:p>
        </w:tc>
        <w:tc>
          <w:tcPr>
            <w:tcW w:type="dxa" w:w="3024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Lagging Indicator</w:t>
            </w:r>
          </w:p>
        </w:tc>
        <w:tc>
          <w:tcPr>
            <w:tcW w:type="dxa" w:w="2304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7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WF01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Lead Intake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leads responded to within 2 hrs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Enquiry-to-onboarding conversion rate</w:t>
            </w:r>
          </w:p>
        </w:tc>
        <w:tc>
          <w:tcPr>
            <w:tcW w:type="dxa" w:w="230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&gt;80% in 2 hrs; &gt;60% conversion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WF02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Requirements Gathering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intake forms fully completed at first pass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Avg time from enquiry to completed profile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100% complete; &lt;24 hrs</w:t>
            </w:r>
          </w:p>
        </w:tc>
      </w:tr>
      <w:tr>
        <w:tc>
          <w:tcPr>
            <w:tcW w:type="dxa" w:w="7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WF03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City SOP Lookup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ops team using documented SOP (vs memory)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city-specific errors per month</w:t>
            </w:r>
          </w:p>
        </w:tc>
        <w:tc>
          <w:tcPr>
            <w:tcW w:type="dxa" w:w="230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&lt;2 errors/month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WF04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Property Outreach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Avg partner response time to outreach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listings received per outreach request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&lt;4 hrs response; ≥5 listings</w:t>
            </w:r>
          </w:p>
        </w:tc>
      </w:tr>
      <w:tr>
        <w:tc>
          <w:tcPr>
            <w:tcW w:type="dxa" w:w="7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WF05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Shortlisting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shortlist iterations before customer approval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Avg days from outreach to shortlist approval</w:t>
            </w:r>
          </w:p>
        </w:tc>
        <w:tc>
          <w:tcPr>
            <w:tcW w:type="dxa" w:w="230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≤3 iterations; &lt;5 days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WF06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Viewing Coordination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no-shows or reschedules per viewing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Avg time to successfully schedule a viewing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&lt;1 reschedule avg; &lt;48 hrs</w:t>
            </w:r>
          </w:p>
        </w:tc>
      </w:tr>
      <w:tr>
        <w:tc>
          <w:tcPr>
            <w:tcW w:type="dxa" w:w="7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WF07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Agreement &amp; Booking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negotiations where customer drops post-viewing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Avg days from viewing to signed agreement</w:t>
            </w:r>
          </w:p>
        </w:tc>
        <w:tc>
          <w:tcPr>
            <w:tcW w:type="dxa" w:w="230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&lt;15% drop rate; &lt;7 days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WF08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Moving Quotes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vendor quotes received per request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Avg time from inventory submission to quotes in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3 quotes always; &lt;48 hrs</w:t>
            </w:r>
          </w:p>
        </w:tc>
      </w:tr>
      <w:tr>
        <w:tc>
          <w:tcPr>
            <w:tcW w:type="dxa" w:w="7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WF09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Moving Booking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bookings confirmed &gt;7 days before move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last-minute booking changes (&lt;48 hrs)</w:t>
            </w:r>
          </w:p>
        </w:tc>
        <w:tc>
          <w:tcPr>
            <w:tcW w:type="dxa" w:w="230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&gt;90% confirmed 7 days out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WF10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Pre-Move Coordination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NOCs obtained before move day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move-day access issues due to missing NOC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100% NOCs; 0 access issues</w:t>
            </w:r>
          </w:p>
        </w:tc>
      </w:tr>
      <w:tr>
        <w:tc>
          <w:tcPr>
            <w:tcW w:type="dxa" w:w="7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WF11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Move Day Operations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known risks flagged before move day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moves completed on scheduled date</w:t>
            </w:r>
          </w:p>
        </w:tc>
        <w:tc>
          <w:tcPr>
            <w:tcW w:type="dxa" w:w="230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&lt;20% have issues; &gt;95% on-schedule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WF12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Electricity Setup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Application submitted ≥7 days before move-in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Days from application to connection activation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Submit early; &lt;7 days activation</w:t>
            </w:r>
          </w:p>
        </w:tc>
      </w:tr>
      <w:tr>
        <w:tc>
          <w:tcPr>
            <w:tcW w:type="dxa" w:w="7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WF13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Internet Setup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ISP availability confirmed for building before move-in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Days from ISP request to active connection</w:t>
            </w:r>
          </w:p>
        </w:tc>
        <w:tc>
          <w:tcPr>
            <w:tcW w:type="dxa" w:w="230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Confirm availability; &lt;14 days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WF14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Gas Setup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Gas type (PNG/LPG) confirmed before move-in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setups completed within 7 days of move-in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Confirm type early; &gt;80% in 7 days</w:t>
            </w:r>
          </w:p>
        </w:tc>
      </w:tr>
      <w:tr>
        <w:tc>
          <w:tcPr>
            <w:tcW w:type="dxa" w:w="7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WF15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Water Setup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Application submitted before move-in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Days to water connection activation</w:t>
            </w:r>
          </w:p>
        </w:tc>
        <w:tc>
          <w:tcPr>
            <w:tcW w:type="dxa" w:w="230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Submit early; expectation set (weeks)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WF16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Aadhaar Update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customers who submit within 7 days of move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Days to Aadhaar update confirmation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&gt;90% submit in 7 days</w:t>
            </w:r>
          </w:p>
        </w:tc>
      </w:tr>
      <w:tr>
        <w:tc>
          <w:tcPr>
            <w:tcW w:type="dxa" w:w="7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WF17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Bank Address Change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bank accounts identified and tracked per customer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bank changes confirmed within 30 days</w:t>
            </w:r>
          </w:p>
        </w:tc>
        <w:tc>
          <w:tcPr>
            <w:tcW w:type="dxa" w:w="230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All accounts tracked; 100% confirmed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WF18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ID Document Updates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government IDs in customer's profile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IDs updated within 45 days post-move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All tracked; &gt;80% updated in 45 days</w:t>
            </w:r>
          </w:p>
        </w:tc>
      </w:tr>
      <w:tr>
        <w:tc>
          <w:tcPr>
            <w:tcW w:type="dxa" w:w="7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WF19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Subscription Updates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subscriptions updated before move-in date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mis-delivery complaints post-move</w:t>
            </w:r>
          </w:p>
        </w:tc>
        <w:tc>
          <w:tcPr>
            <w:tcW w:type="dxa" w:w="230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Critical ones before move; 0 complaints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WF20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Local Orientation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customers who receive local guide within 48 hrs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rating of local guide quality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100% receive it; &gt;4.0/5 rating</w:t>
            </w:r>
          </w:p>
        </w:tc>
      </w:tr>
      <w:tr>
        <w:tc>
          <w:tcPr>
            <w:tcW w:type="dxa" w:w="7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WF21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Issue Resolution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open issues per active relocation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Avg days from issue raised to resolution</w:t>
            </w:r>
          </w:p>
        </w:tc>
        <w:tc>
          <w:tcPr>
            <w:tcW w:type="dxa" w:w="230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&lt;3 open simultaneously; &lt;5 days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WF22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Feedback Collection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customers sent feedback request within 7 days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NPS score (30-day rolling); response rate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&gt;40 NPS; &gt;50% response rate</w:t>
            </w:r>
          </w:p>
        </w:tc>
      </w:tr>
      <w:tr>
        <w:tc>
          <w:tcPr>
            <w:tcW w:type="dxa" w:w="7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WF23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Vendor Management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active vetted vendors per city per category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relocations with ≥2 vendor alternatives</w:t>
            </w:r>
          </w:p>
        </w:tc>
        <w:tc>
          <w:tcPr>
            <w:tcW w:type="dxa" w:w="230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≥3 vendors/city/category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WF24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Vendor Performance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vendors with updated performance score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Avg vendor rating per city per quarter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100% scored quarterly; &gt;4.0/5 avg</w:t>
            </w:r>
          </w:p>
        </w:tc>
      </w:tr>
      <w:tr>
        <w:tc>
          <w:tcPr>
            <w:tcW w:type="dxa" w:w="7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WF25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Billing &amp; Payments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invoices sent within 24 hrs of milestone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payments collected on time</w:t>
            </w:r>
          </w:p>
        </w:tc>
        <w:tc>
          <w:tcPr>
            <w:tcW w:type="dxa" w:w="230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100% on-time invoicing; &gt;95% collected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WF26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Team Assignment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Workload distribution variance across ops team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SLA breaches linked to assignment gaps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&lt;20% variance; 0 assignment-caused breaches</w:t>
            </w:r>
          </w:p>
        </w:tc>
      </w:tr>
      <w:tr>
        <w:tc>
          <w:tcPr>
            <w:tcW w:type="dxa" w:w="72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WF27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Documentation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relocations with complete document folder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# of documents that needed to be reconstructed retroactively</w:t>
            </w:r>
          </w:p>
        </w:tc>
        <w:tc>
          <w:tcPr>
            <w:tcW w:type="dxa" w:w="230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100% complete; 0 reconstructions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WF28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SLA Tracking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% of active workflows with SLA timer running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SLA breach rate (# breaches / total workflow instances)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0 unmonitored workflows; &lt;5% breach rate</w:t>
            </w:r>
          </w:p>
        </w:tc>
      </w:tr>
    </w:tbl>
    <w:p/>
    <w:p>
      <w:r>
        <w:br w:type="page"/>
      </w:r>
    </w:p>
    <w:p>
      <w:pPr>
        <w:spacing w:before="0" w:after="0"/>
        <w:jc w:val="left"/>
        <w:shd w:val="clear" w:color="auto" w:fill="0D1B3E"/>
      </w:pPr>
      <w:r>
        <w:rPr>
          <w:rFonts w:ascii="Calibri" w:hAnsi="Calibri"/>
          <w:b/>
          <w:i w:val="0"/>
          <w:color w:val="FFFFFF"/>
          <w:sz w:val="40"/>
        </w:rPr>
        <w:t>SECTION D — Top 3 Automation Opportunities</w:t>
      </w:r>
    </w:p>
    <w:p>
      <w:pPr>
        <w:spacing w:before="160" w:after="200"/>
      </w:pPr>
      <w:r>
        <w:rPr>
          <w:rFonts w:ascii="Calibri" w:hAnsi="Calibri"/>
          <w:b w:val="0"/>
          <w:i w:val="0"/>
          <w:color w:val="1A1A2E"/>
          <w:sz w:val="21"/>
        </w:rPr>
        <w:t>Ranked by the product of three factors: frequency (how often this occurs), manual effort per occurrence, and clarity of automation path (how unambiguously can a machine handle this without human judgment).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E6A817"/>
          <w:sz w:val="28"/>
        </w:rPr>
        <w:t>🥇  Rank 1 — Customer Communication &amp; Status Update 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BEE"/>
            <w:tcBorders>
              <w:top w:val="single" w:sz="4" w:space="0" w:color="CCDDFF"/>
              <w:left w:val="single" w:sz="12" w:space="0" w:color="E6A817"/>
              <w:bottom w:val="single" w:sz="4" w:space="0" w:color="CCDDFF"/>
              <w:right w:val="single" w:sz="4" w:space="0" w:color="CCDD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E6A817"/>
                <w:sz w:val="20"/>
              </w:rPr>
              <w:t xml:space="preserve">Why #1:  </w:t>
            </w:r>
            <w:r>
              <w:rPr>
                <w:rFonts w:ascii="Calibri" w:hAnsi="Calibri"/>
                <w:color w:val="1A1A2E"/>
                <w:sz w:val="20"/>
              </w:rPr>
              <w:t>At 200+ active relocations spanning 4–8 weeks each, the single most repeated daily task in the entire operation is answering the question: 'What is happening with my relocation?' This is high-frequency, fully mechanical, requires zero human judgment for standard updates, and directly drives customer anxiety and churn. It is also the bottleneck that compounds fastest with growth.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0D1B3E"/>
          <w:sz w:val="22"/>
        </w:rPr>
        <w:t>The Problem in Detail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Each ops person manages 40+ active cases simultaneously.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Customers ping on WhatsApp at all hours — reactive ops is the current model.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Before every reply, ops must mentally reconstruct the status of a specific case from their WhatsApp history and Google Sheet.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No centralized, real-time status view exists — for ops or for the customer.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Status updates are inconsistent: some customers get proactive updates, others wait for days.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D1B3E"/>
          <w:sz w:val="22"/>
        </w:rPr>
        <w:t>Why This Qualifies for Full Automation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The content of 80% of status updates is templated: 'Your X has been submitted. Expect Y in Z days.'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The trigger for each update is a stage change in a tracking sheet — a machine-readable event.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No judgment is required: when WF12 moves from 'Application Submitted' to 'Meter Installed', the message is deterministic.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The remaining 20% (issues, delays, exceptions) still gets routed to an ops person — automation handles the routine, humans handle the edge.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D1B3E"/>
          <w:sz w:val="22"/>
        </w:rPr>
        <w:t>Proposed Automation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A central relocation tracker (Google Sheet or lightweight app) where ops updates the stage of each relocation as milestones complete.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A WhatsApp Business API bot triggered on stage changes — sends a pre-written, personalised status message to the customer automatically.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A scheduled weekly summary message to each active customer: 'Here is where your relocation stands this week.'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A customer-facing status link where they can view their relocation progress without asking — reduces inbound pings by 60–70%.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D1B3E"/>
          <w:sz w:val="22"/>
        </w:rPr>
        <w:t>Impact Quantification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168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Before Automation</w:t>
            </w:r>
          </w:p>
        </w:tc>
        <w:tc>
          <w:tcPr>
            <w:tcW w:type="dxa" w:w="3456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After Automation</w:t>
            </w:r>
          </w:p>
        </w:tc>
      </w:tr>
      <w:tr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Inbound status queries per day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~150–200 (across team)</w:t>
            </w:r>
          </w:p>
        </w:tc>
        <w:tc>
          <w:tcPr>
            <w:tcW w:type="dxa" w:w="3456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~40–60 (exceptions only)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Ops time on status updates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~30% of total ops bandwidth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&lt;8%</w:t>
            </w:r>
          </w:p>
        </w:tc>
      </w:tr>
      <w:tr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Customer-reported anxiety / confusion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High — no proactive updates</w:t>
            </w:r>
          </w:p>
        </w:tc>
        <w:tc>
          <w:tcPr>
            <w:tcW w:type="dxa" w:w="3456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Low — triggered messages at every stage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Scalability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Bottleneck at 200/month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Scales to 500+/month without headcount increase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606070"/>
          <w:sz w:val="28"/>
        </w:rPr>
        <w:t>🥈  Rank 2 — City-Specific Document &amp; Checklist Intelligence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  <w:tcBorders>
              <w:top w:val="single" w:sz="4" w:space="0" w:color="CCDDFF"/>
              <w:left w:val="single" w:sz="12" w:space="0" w:color="888888"/>
              <w:bottom w:val="single" w:sz="4" w:space="0" w:color="CCDDFF"/>
              <w:right w:val="single" w:sz="4" w:space="0" w:color="CCDD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606070"/>
                <w:sz w:val="20"/>
              </w:rPr>
              <w:t xml:space="preserve">Why #2:  </w:t>
            </w:r>
            <w:r>
              <w:rPr>
                <w:rFonts w:ascii="Calibri" w:hAnsi="Calibri"/>
                <w:color w:val="1A1A2E"/>
                <w:sz w:val="20"/>
              </w:rPr>
              <w:t>Document errors and checklist gaps are the hidden number-one cause of delays across utilities and address change workflows. This knowledge currently lives in ops people's heads — it is fragile, inconsistent, and impossible to scale. As new cities are added, this gap widens exponentially.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0D1B3E"/>
          <w:sz w:val="22"/>
        </w:rPr>
        <w:t>The Problem in Detail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Each city has a different electricity board, gas provider, water authority — each with different document requirements.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If the wrong document is submitted (e.g., wrong type of address proof for BESCOM), the application is rejected — adding 7–14 days of delay.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New ops team members make these mistakes regularly because the knowledge is undocumented.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Customers are often asked for the same document twice because the initial checklist was incomplete.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Knowledge concentration risk: If one senior ops person leaves, city-specific expertise leaves with them.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D1B3E"/>
          <w:sz w:val="22"/>
        </w:rPr>
        <w:t>Proposed Automation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A structured database: for each (destination city × utility type × customer residency type) → exact list of required documents with format specifications.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When a new relocation is created, the system auto-generates the complete document checklist for that specific city pair and customer profile.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Customer-facing: sends customer an organized list of documents to prepare before move day (reduces last-minute scramble).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Ops-facing: shows ops person a verification checklist before submitting any application — cannot proceed without ticking each item.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Maintenance layer: when a city's requirements change (government policy update), one person updates the database and every future case benefits.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D1B3E"/>
          <w:sz w:val="22"/>
        </w:rPr>
        <w:t>Why This is #2 (Not Higher)</w:t>
      </w:r>
    </w:p>
    <w:p>
      <w:pPr>
        <w:spacing w:before="40" w:after="80"/>
      </w:pPr>
      <w:r>
        <w:rPr>
          <w:rFonts w:ascii="Calibri" w:hAnsi="Calibri"/>
          <w:b w:val="0"/>
          <w:i/>
          <w:color w:val="606070"/>
          <w:sz w:val="21"/>
        </w:rPr>
        <w:t>The status bot (#1) affects every single customer every single day. This system affects fewer touchpoints but prevents catastrophic delays — it is the deeper, more strategic fix. It also requires more upfront knowledge work (documenting city-specific requirements) before it delivers value.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B86A2B"/>
          <w:sz w:val="28"/>
        </w:rPr>
        <w:t>🥉  Rank 3 — Vendor Matching &amp; Availability Coordination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F0"/>
            <w:tcBorders>
              <w:top w:val="single" w:sz="4" w:space="0" w:color="CCDDFF"/>
              <w:left w:val="single" w:sz="12" w:space="0" w:color="B86A2B"/>
              <w:bottom w:val="single" w:sz="4" w:space="0" w:color="CCDDFF"/>
              <w:right w:val="single" w:sz="4" w:space="0" w:color="CCDDFF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86A2B"/>
                <w:sz w:val="20"/>
              </w:rPr>
              <w:t xml:space="preserve">Why #3:  </w:t>
            </w:r>
            <w:r>
              <w:rPr>
                <w:rFonts w:ascii="Calibri" w:hAnsi="Calibri"/>
                <w:color w:val="1A1A2E"/>
                <w:sz w:val="20"/>
              </w:rPr>
              <w:t>At 200 relocations/month, sourcing vendor quotes for every relocation (2–3 property partners + 2–3 moving vendors per case) consumes an estimated 200+ hours of ops time per month — entirely through manual WhatsApp outreach with no tracking, no SLA, and no fallback if a vendor doesn't respond.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0D1B3E"/>
          <w:sz w:val="22"/>
        </w:rPr>
        <w:t>The Problem in Detail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For every relocation, an ops person manually identifies 3–5 property partners in the destination city and 2–3 moving vendors in the source city.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Outreach is via individual WhatsApp messages — no template, no tracking, no SLA.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If a partner doesn't respond, there is no automated follow-up — ops person must remember to follow up manually.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Quotes from multiple vendors arrive at different times and must be manually compiled into a comparison for the customer.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No visibility into vendor availability — ops often discovers a preferred vendor is booked only after outreach.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D1B3E"/>
          <w:sz w:val="22"/>
        </w:rPr>
        <w:t>Proposed Automation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A vendor database with city, category, availability calendar, pricing range, capacity, and performance rating.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When a new relocation is created, system auto-selects top 3 vendors per category per city and sends standardized outreach (WhatsApp template or email form).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Vendors respond via a simple structured form or WhatsApp keyword response — system captures availability and quote automatically.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System compiles responses into a side-by-side comparison table and presents it to the ops person for final selection.</w:t>
      </w:r>
    </w:p>
    <w:p>
      <w:pPr>
        <w:pStyle w:val="ListBullet"/>
        <w:spacing w:before="20" w:after="60"/>
        <w:ind w:left="340"/>
      </w:pPr>
      <w:r>
        <w:rPr>
          <w:rFonts w:ascii="Calibri" w:hAnsi="Calibri"/>
          <w:color w:val="1A1A2E"/>
          <w:sz w:val="21"/>
        </w:rPr>
        <w:t>Automated 24-hour follow-up for non-responsive vendors, with auto-escalation to the next vendor on the list.</w:t>
      </w:r>
    </w:p>
    <w:p>
      <w:r>
        <w:br w:type="page"/>
      </w:r>
    </w:p>
    <w:p>
      <w:pPr>
        <w:spacing w:before="0" w:after="0"/>
        <w:jc w:val="left"/>
        <w:shd w:val="clear" w:color="auto" w:fill="0D1B3E"/>
      </w:pPr>
      <w:r>
        <w:rPr>
          <w:rFonts w:ascii="Calibri" w:hAnsi="Calibri"/>
          <w:b/>
          <w:i w:val="0"/>
          <w:color w:val="FFFFFF"/>
          <w:sz w:val="40"/>
        </w:rPr>
        <w:t>SECTION E — Edge Cases &amp; Hidden Failure Modes</w:t>
      </w:r>
    </w:p>
    <w:p>
      <w:pPr>
        <w:spacing w:before="160" w:after="200"/>
      </w:pPr>
      <w:r>
        <w:rPr>
          <w:rFonts w:ascii="Calibri" w:hAnsi="Calibri"/>
          <w:b w:val="0"/>
          <w:i w:val="0"/>
          <w:color w:val="1A1A2E"/>
          <w:sz w:val="21"/>
        </w:rPr>
        <w:t>The failure modes below are the ones that are genuinely non-obvious — not the ones any ops person would list immediately. Each entry includes why it is hidden (why people miss it) and the downstream impact.</w:t>
      </w:r>
    </w:p>
    <w:p>
      <w:pPr>
        <w:spacing w:before="240" w:after="80"/>
        <w:jc w:val="left"/>
      </w:pPr>
      <w:r>
        <w:rPr>
          <w:rFonts w:ascii="Calibri" w:hAnsi="Calibri"/>
          <w:b/>
          <w:i w:val="0"/>
          <w:color w:val="146EF5"/>
          <w:sz w:val="25"/>
        </w:rPr>
        <w:t>🏠  Apartment &amp; Property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92"/>
            <w:shd w:val="clear" w:color="auto" w:fill="146E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024"/>
            <w:shd w:val="clear" w:color="auto" w:fill="146E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Edge Case</w:t>
            </w:r>
          </w:p>
        </w:tc>
        <w:tc>
          <w:tcPr>
            <w:tcW w:type="dxa" w:w="3168"/>
            <w:shd w:val="clear" w:color="auto" w:fill="146E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Why It's Hidden</w:t>
            </w:r>
          </w:p>
        </w:tc>
        <w:tc>
          <w:tcPr>
            <w:tcW w:type="dxa" w:w="2880"/>
            <w:shd w:val="clear" w:color="auto" w:fill="146E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Downstream Impact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EC01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changes destination city after shortlisting has started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Ops assumes city is fixed; no formal change management process exists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All partner outreach wasted; SOP lookup must restart; move date may need to shift</w:t>
            </w:r>
          </w:p>
        </w:tc>
      </w:tr>
      <w:tr>
        <w:tc>
          <w:tcPr>
            <w:tcW w:type="dxa" w:w="7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EC02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Landlord backs out after token payment but before agreement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Token is facilitated by QuickMove — refund dispute becomes QuickMove's problem even if it's not QuickMove's fault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Legal exposure + customer trust damage + potential financial loss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EC03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Apartment shown to customer doesn't match actual condition on move-in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Property partners sometimes share photos of model/neighboring flats rather than the specific unit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refuses to move in; entire logistics chain (truck, timeline) is disrupted</w:t>
            </w:r>
          </w:p>
        </w:tc>
      </w:tr>
      <w:tr>
        <w:tc>
          <w:tcPr>
            <w:tcW w:type="dxa" w:w="7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EC04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RWA has undisclosed restrictions (no unmarried couples, no non-vegetarians, no pets)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Property partners don't proactively disclose RWA policies; only discovered after move-in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faces eviction or inability to move in after all logistics are complete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EC05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Apartment possession date shifts by more than 7 days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Landlord delays are common but not formally tracked against the moving vendor booking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Moving truck is booked + customer vacated current home → 3-way crisis with no slack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i w:val="0"/>
          <w:color w:val="0A7C4E"/>
          <w:sz w:val="25"/>
        </w:rPr>
        <w:t>🚛  Packers &amp; Movers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92"/>
            <w:shd w:val="clear" w:color="auto" w:fill="0A7C4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024"/>
            <w:shd w:val="clear" w:color="auto" w:fill="0A7C4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Edge Case</w:t>
            </w:r>
          </w:p>
        </w:tc>
        <w:tc>
          <w:tcPr>
            <w:tcW w:type="dxa" w:w="3168"/>
            <w:shd w:val="clear" w:color="auto" w:fill="0A7C4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Why It's Hidden</w:t>
            </w:r>
          </w:p>
        </w:tc>
        <w:tc>
          <w:tcPr>
            <w:tcW w:type="dxa" w:w="2880"/>
            <w:shd w:val="clear" w:color="auto" w:fill="0A7C4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Downstream Impact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EC06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Moving truck breaks down mid-route on an intercity move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Logistics vendors rarely have backup vehicles; this is not discussed at booking time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Goods stranded on highway; customer has handed over current home; no destination to go to</w:t>
            </w:r>
          </w:p>
        </w:tc>
      </w:tr>
      <w:tr>
        <w:tc>
          <w:tcPr>
            <w:tcW w:type="dxa" w:w="7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EC07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Customer's inventory is larger than reported (underestimation is near-universal)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Customers consistently underreport inventory size, especially clothes, kitchen items, and books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Truck cannot carry everything; second trip needed; extra cost and delay not anticipated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EC08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Building elevator is too small for large furniture items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Never checked in advance; property partner doesn't flag this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Sofa, wardrobe, or refrigerator cannot enter — customer must disassemble or leave it behind</w:t>
            </w:r>
          </w:p>
        </w:tc>
      </w:tr>
      <w:tr>
        <w:tc>
          <w:tcPr>
            <w:tcW w:type="dxa" w:w="7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EC09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Source city society NOC takes longer than expected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Some RWAs only meet on weekends or have bureaucratic processes; ops assumes same-day NOC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Move day blocked; vendor must be rescheduled at premium last-minute rates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EC10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has a vehicle that also needs to be transported (car carrier service)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Car transport is a completely different vendor category that ops doesn't automatically include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Forgotten until 2 days before move; car carriers have longer lead times than movers</w:t>
            </w:r>
          </w:p>
        </w:tc>
      </w:tr>
      <w:tr>
        <w:tc>
          <w:tcPr>
            <w:tcW w:type="dxa" w:w="7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EC11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has fragile or high-value items (artwork, instruments, antiques)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Standard packers are not insured or equipped for specialty items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Damage occurs with no recourse; significant financial and reputational impact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i w:val="0"/>
          <w:color w:val="8B2FC9"/>
          <w:sz w:val="25"/>
        </w:rPr>
        <w:t>⚡  Utility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92"/>
            <w:shd w:val="clear" w:color="auto" w:fill="8B2FC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024"/>
            <w:shd w:val="clear" w:color="auto" w:fill="8B2FC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Edge Case</w:t>
            </w:r>
          </w:p>
        </w:tc>
        <w:tc>
          <w:tcPr>
            <w:tcW w:type="dxa" w:w="3168"/>
            <w:shd w:val="clear" w:color="auto" w:fill="8B2FC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Why It's Hidden</w:t>
            </w:r>
          </w:p>
        </w:tc>
        <w:tc>
          <w:tcPr>
            <w:tcW w:type="dxa" w:w="2880"/>
            <w:shd w:val="clear" w:color="auto" w:fill="8B2FC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Downstream Impact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EC12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Building has a shared electricity meter (older buildings)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Property partner doesn't flag this; ops assumes individual meters are standard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cannot get individual connection; becomes dependent on landlord for electricity billing</w:t>
            </w:r>
          </w:p>
        </w:tc>
      </w:tr>
      <w:tr>
        <w:tc>
          <w:tcPr>
            <w:tcW w:type="dxa" w:w="7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EC13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Preferred ISP has no infrastructure in the specific building or tower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ISP coverage maps are at area level, not building level; floor-level dead zones exist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moves in expecting internet; discovers on Day 1 it's not available for 4–6 weeks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EC14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PNG gas connection requires fresh pipeline installation inside the flat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Building may be PNG-ready but individual flats may not have the pipeline run yet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Weeks of civil work required; customer has no cooking gas — buys cylinders as workaround</w:t>
            </w:r>
          </w:p>
        </w:tc>
      </w:tr>
      <w:tr>
        <w:tc>
          <w:tcPr>
            <w:tcW w:type="dxa" w:w="7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EC15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Water connection application requires an NOC from the existing RWA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This requirement is not on any standard checklist; discovered only when application is rejected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Significant processing delay; application must be resubmitted from scratch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EC16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Electricity meter transfer vs. new connection requires a different form and process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Ops treats all electricity setups identically regardless of whether a previous connection existed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Wrong form submitted to electricity board; application rejected; 7–14 day delay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i w:val="0"/>
          <w:color w:val="C47A00"/>
          <w:sz w:val="25"/>
        </w:rPr>
        <w:t>📄  Address Change &amp;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92"/>
            <w:shd w:val="clear" w:color="auto" w:fill="C47A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024"/>
            <w:shd w:val="clear" w:color="auto" w:fill="C47A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Edge Case</w:t>
            </w:r>
          </w:p>
        </w:tc>
        <w:tc>
          <w:tcPr>
            <w:tcW w:type="dxa" w:w="3168"/>
            <w:shd w:val="clear" w:color="auto" w:fill="C47A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Why It's Hidden</w:t>
            </w:r>
          </w:p>
        </w:tc>
        <w:tc>
          <w:tcPr>
            <w:tcW w:type="dxa" w:w="2880"/>
            <w:shd w:val="clear" w:color="auto" w:fill="C47A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Downstream Impact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EC17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Customer's name is spelled inconsistently across identity documents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e.g., 'Mohammad' vs 'Mohammed' vs 'Muhammad' — extremely common across Indian documents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Banks and government portals reject address change applications; document correction must happen first</w:t>
            </w:r>
          </w:p>
        </w:tc>
      </w:tr>
      <w:tr>
        <w:tc>
          <w:tcPr>
            <w:tcW w:type="dxa" w:w="7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EC18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Customer's Aadhaar is linked to a mobile number they no longer have access to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OTP-based online Aadhaar update requires the linked mobile — if SIM is lost or deactivated, this fails silently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Cannot update online; must physically visit Aadhaar Seva Kendra with biometric authentication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EC19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Voter ID city change requires two separate actions across two state election portals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Deletion from old constituency and enrollment in new are independent multi-step processes on different portals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thinks it's done after one step; remains enrolled at old address for years</w:t>
            </w:r>
          </w:p>
        </w:tc>
      </w:tr>
      <w:tr>
        <w:tc>
          <w:tcPr>
            <w:tcW w:type="dxa" w:w="7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EC20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Some PSU banks require address change at the original account-opening branch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Ops assumes all banks allow online or any-branch address change — PSU banks often don't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may need to physically travel to their old city to update their bank address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EC21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is an NRI or holds a foreign passport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Ops team has never handled this case; no SOP exists for foreign-passport holders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Complete breakdown of document workflow; wrong forms, wrong authorities, wrong timelines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i w:val="0"/>
          <w:color w:val="B01E28"/>
          <w:sz w:val="25"/>
        </w:rPr>
        <w:t>👥  Internal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92"/>
            <w:shd w:val="clear" w:color="auto" w:fill="B01E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024"/>
            <w:shd w:val="clear" w:color="auto" w:fill="B01E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Edge Case</w:t>
            </w:r>
          </w:p>
        </w:tc>
        <w:tc>
          <w:tcPr>
            <w:tcW w:type="dxa" w:w="3168"/>
            <w:shd w:val="clear" w:color="auto" w:fill="B01E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Why It's Hidden</w:t>
            </w:r>
          </w:p>
        </w:tc>
        <w:tc>
          <w:tcPr>
            <w:tcW w:type="dxa" w:w="2880"/>
            <w:shd w:val="clear" w:color="auto" w:fill="B01E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Downstream Impact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EC22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Two relocations to the same building on the same date, competing for the same apartment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No system to check for conflicts; two ops people work independently with no cross-visibility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Both customers are shown the same property; one gets a last-minute rejection</w:t>
            </w:r>
          </w:p>
        </w:tc>
      </w:tr>
      <w:tr>
        <w:tc>
          <w:tcPr>
            <w:tcW w:type="dxa" w:w="7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EC23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Ops person handling a case goes on unplanned leave without proper handover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No formal handover protocol exists; case knowledge is in the individual's WhatsApp and personal notes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Relocation stalls; customer calls with questions and no one can answer them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EC24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 confirmed vendor shuts down or goes unresponsive without notice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No monitoring system for vendor operational status between assignments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Booking confirmed → vendor doesn't show up on move day → emergency scramble</w:t>
            </w:r>
          </w:p>
        </w:tc>
      </w:tr>
      <w:tr>
        <w:tc>
          <w:tcPr>
            <w:tcW w:type="dxa" w:w="7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EC25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Festive season or long weekend causes all vendors across a city to be fully booked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No capacity planning for peak periods (Diwali, year-end, summer rush in May–June)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Mass rescheduling crisis affecting multiple customers simultaneously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EC26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goes silent mid-process (ghosting) for 5+ days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No defined protocol for unresponsive customers; ops continues holding vendor slots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Vendor bookings block capacity; deposits potentially at risk; ops bandwidth consumed by a stalled case</w:t>
            </w:r>
          </w:p>
        </w:tc>
      </w:tr>
      <w:tr>
        <w:tc>
          <w:tcPr>
            <w:tcW w:type="dxa" w:w="7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EC27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City-specific regulatory requirement changes (government policy update)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No process to monitor regulatory changes and update internal SOPs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Ops continues submitting outdated documents months after the requirement changed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i w:val="0"/>
          <w:color w:val="1A4DAA"/>
          <w:sz w:val="25"/>
        </w:rPr>
        <w:t>💰  Financial &amp; Commercial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92"/>
            <w:shd w:val="clear" w:color="auto" w:fill="1A4DA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024"/>
            <w:shd w:val="clear" w:color="auto" w:fill="1A4DA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Edge Case</w:t>
            </w:r>
          </w:p>
        </w:tc>
        <w:tc>
          <w:tcPr>
            <w:tcW w:type="dxa" w:w="3168"/>
            <w:shd w:val="clear" w:color="auto" w:fill="1A4DA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Why It's Hidden</w:t>
            </w:r>
          </w:p>
        </w:tc>
        <w:tc>
          <w:tcPr>
            <w:tcW w:type="dxa" w:w="2880"/>
            <w:shd w:val="clear" w:color="auto" w:fill="1A4DA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Downstream Impact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EC28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disputes a charge after the move is complete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No pre-agreed pricing document is signed by the customer at the start; pricing is communicated verbally via WhatsApp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QuickMove has no written evidence; absorbs cost or enters a dispute with no documentation</w:t>
            </w:r>
          </w:p>
        </w:tc>
      </w:tr>
      <w:tr>
        <w:tc>
          <w:tcPr>
            <w:tcW w:type="dxa" w:w="792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EC29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Moving vendor adds hidden costs on move day (extra labour, additional vehicle, 'heavy item surcharge')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Informal WhatsApp quotes don't constitute binding agreements; vendor presents revised bill at delivery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refuses to pay; vendor holds goods hostage; ops is caught in the middle</w:t>
            </w:r>
          </w:p>
        </w:tc>
      </w:tr>
      <w:tr>
        <w:tc>
          <w:tcPr>
            <w:tcW w:type="dxa" w:w="792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EC30</w:t>
            </w:r>
          </w:p>
        </w:tc>
        <w:tc>
          <w:tcPr>
            <w:tcW w:type="dxa" w:w="302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Security deposit gets stuck with previous landlord post-move</w:t>
            </w:r>
          </w:p>
        </w:tc>
        <w:tc>
          <w:tcPr>
            <w:tcW w:type="dxa" w:w="316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Not officially in QuickMove's scope, but customer expects help getting it back</w:t>
            </w:r>
          </w:p>
        </w:tc>
        <w:tc>
          <w:tcPr>
            <w:tcW w:type="dxa" w:w="288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Reputational damage even though QuickMove has no contractual obligation — expectation mismatch</w:t>
            </w:r>
          </w:p>
        </w:tc>
      </w:tr>
    </w:tbl>
    <w:p/>
    <w:p>
      <w:r>
        <w:br w:type="page"/>
      </w:r>
    </w:p>
    <w:p>
      <w:pPr>
        <w:spacing w:before="0" w:after="0"/>
        <w:jc w:val="left"/>
        <w:shd w:val="clear" w:color="auto" w:fill="0D1B3E"/>
      </w:pPr>
      <w:r>
        <w:rPr>
          <w:rFonts w:ascii="Calibri" w:hAnsi="Calibri"/>
          <w:b/>
          <w:i w:val="0"/>
          <w:color w:val="FFFFFF"/>
          <w:sz w:val="40"/>
        </w:rPr>
        <w:t>SECTION F — Summary Dashboard</w:t>
      </w:r>
    </w:p>
    <w:p>
      <w:pPr>
        <w:spacing w:before="160" w:after="200"/>
      </w:pPr>
      <w:r>
        <w:rPr>
          <w:rFonts w:ascii="Calibri" w:hAnsi="Calibri"/>
          <w:b w:val="0"/>
          <w:i w:val="0"/>
          <w:color w:val="1A1A2E"/>
          <w:sz w:val="21"/>
        </w:rPr>
        <w:t>A consolidated view of what this system map covers.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1728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4464"/>
            <w:shd w:val="clear" w:color="auto" w:fill="0D1B3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60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Total Workflows Mapped</w:t>
            </w:r>
          </w:p>
        </w:tc>
        <w:tc>
          <w:tcPr>
            <w:tcW w:type="dxa" w:w="172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28</w:t>
            </w:r>
          </w:p>
        </w:tc>
        <w:tc>
          <w:tcPr>
            <w:tcW w:type="dxa" w:w="446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Across 6 operational phases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Stakeholder Types Identified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11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From customers to government bodies</w:t>
            </w:r>
          </w:p>
        </w:tc>
      </w:tr>
      <w:tr>
        <w:tc>
          <w:tcPr>
            <w:tcW w:type="dxa" w:w="360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Handoffs Mapped</w:t>
            </w:r>
          </w:p>
        </w:tc>
        <w:tc>
          <w:tcPr>
            <w:tcW w:type="dxa" w:w="172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28+</w:t>
            </w:r>
          </w:p>
        </w:tc>
        <w:tc>
          <w:tcPr>
            <w:tcW w:type="dxa" w:w="446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Each workflow → next workflow dependency documented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Health Metrics Defined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84+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3 per workflow: leading, lagging, and target</w:t>
            </w:r>
          </w:p>
        </w:tc>
      </w:tr>
      <w:tr>
        <w:tc>
          <w:tcPr>
            <w:tcW w:type="dxa" w:w="360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Automation Opportunities</w:t>
            </w:r>
          </w:p>
        </w:tc>
        <w:tc>
          <w:tcPr>
            <w:tcW w:type="dxa" w:w="172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3 (ranked)</w:t>
            </w:r>
          </w:p>
        </w:tc>
        <w:tc>
          <w:tcPr>
            <w:tcW w:type="dxa" w:w="446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Status bot, Document intelligence, Vendor matching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Edge Cases &amp; Failure Modes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30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Across 6 categories: property, moving, utilities, docs, ops, financial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46EF5"/>
          <w:sz w:val="30"/>
        </w:rPr>
        <w:t>Automation Priority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08"/>
            <w:shd w:val="clear" w:color="auto" w:fill="146E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Rank</w:t>
            </w:r>
          </w:p>
        </w:tc>
        <w:tc>
          <w:tcPr>
            <w:tcW w:type="dxa" w:w="2736"/>
            <w:shd w:val="clear" w:color="auto" w:fill="146E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Automation</w:t>
            </w:r>
          </w:p>
        </w:tc>
        <w:tc>
          <w:tcPr>
            <w:tcW w:type="dxa" w:w="1728"/>
            <w:shd w:val="clear" w:color="auto" w:fill="146E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Frequency</w:t>
            </w:r>
          </w:p>
        </w:tc>
        <w:tc>
          <w:tcPr>
            <w:tcW w:type="dxa" w:w="2016"/>
            <w:shd w:val="clear" w:color="auto" w:fill="146E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Effort Saved</w:t>
            </w:r>
          </w:p>
        </w:tc>
        <w:tc>
          <w:tcPr>
            <w:tcW w:type="dxa" w:w="2160"/>
            <w:shd w:val="clear" w:color="auto" w:fill="146E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Automation Clarity</w:t>
            </w:r>
          </w:p>
        </w:tc>
        <w:tc>
          <w:tcPr>
            <w:tcW w:type="dxa" w:w="1584"/>
            <w:shd w:val="clear" w:color="auto" w:fill="146EF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Priority Score</w:t>
            </w:r>
          </w:p>
        </w:tc>
      </w:tr>
      <w:tr>
        <w:tc>
          <w:tcPr>
            <w:tcW w:type="dxa" w:w="100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🥇 1</w:t>
            </w:r>
          </w:p>
        </w:tc>
        <w:tc>
          <w:tcPr>
            <w:tcW w:type="dxa" w:w="2736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Customer Status Update Bot</w:t>
            </w:r>
          </w:p>
        </w:tc>
        <w:tc>
          <w:tcPr>
            <w:tcW w:type="dxa" w:w="172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Daily, every case</w:t>
            </w:r>
          </w:p>
        </w:tc>
        <w:tc>
          <w:tcPr>
            <w:tcW w:type="dxa" w:w="2016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Very High (~30% of ops time)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Very High (fully templated)</w:t>
            </w:r>
          </w:p>
        </w:tc>
        <w:tc>
          <w:tcPr>
            <w:tcW w:type="dxa" w:w="158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⭐⭐⭐⭐⭐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🥈 2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Document &amp; Checklist Intelligence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Every new relocation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High (prevents delays)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High (rule-based)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⭐⭐⭐⭐</w:t>
            </w:r>
          </w:p>
        </w:tc>
      </w:tr>
      <w:tr>
        <w:tc>
          <w:tcPr>
            <w:tcW w:type="dxa" w:w="100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🥉 3</w:t>
            </w:r>
          </w:p>
        </w:tc>
        <w:tc>
          <w:tcPr>
            <w:tcW w:type="dxa" w:w="2736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Vendor Matching &amp; Coordination</w:t>
            </w:r>
          </w:p>
        </w:tc>
        <w:tc>
          <w:tcPr>
            <w:tcW w:type="dxa" w:w="1728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Every new relocation</w:t>
            </w:r>
          </w:p>
        </w:tc>
        <w:tc>
          <w:tcPr>
            <w:tcW w:type="dxa" w:w="2016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High (~200 hrs/month)</w:t>
            </w:r>
          </w:p>
        </w:tc>
        <w:tc>
          <w:tcPr>
            <w:tcW w:type="dxa" w:w="2160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Medium (needs vendor response)</w:t>
            </w:r>
          </w:p>
        </w:tc>
        <w:tc>
          <w:tcPr>
            <w:tcW w:type="dxa" w:w="1584"/>
            <w:shd w:val="clear" w:color="auto" w:fill="F0F4FF"/>
            <w:tcBorders>
              <w:top w:val="single" w:sz="4" w:space="0" w:color="DDEEFF"/>
              <w:left w:val="single" w:sz="4" w:space="0" w:color="DDEEFF"/>
              <w:bottom w:val="single" w:sz="4" w:space="0" w:color="DDEEFF"/>
              <w:right w:val="single" w:sz="4" w:space="0" w:color="DDEEFF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A1A2E"/>
                <w:sz w:val="19"/>
              </w:rPr>
              <w:t>⭐⭐⭐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 w:val="0"/>
          <w:i/>
          <w:color w:val="606070"/>
          <w:sz w:val="21"/>
        </w:rPr>
        <w:br/>
        <w:t>This map is the foundation for all AI-driven operational improvements at QuickMove. Every automation built on top of this system will compound — the status bot becomes more powerful when it knows the full workflow graph; the document system becomes smarter with city-specific data; the vendor system gets better with performance data. The map is not just a snapshot — it is the operating model.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