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6.png" ContentType="image/jpeg"/>
  <Override PartName="/word/media/image17.png" ContentType="image/jpeg"/>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276" w:lineRule="auto"/>
        <w:jc w:val="center"/>
      </w:pPr>
      <w:r>
        <w:rPr>
          <w:rFonts w:ascii="Times New Roman" w:hAnsi="Times New Roman"/>
          <w:b/>
          <w:i w:val="0"/>
          <w:color w:val="000000"/>
          <w:sz w:val="28"/>
        </w:rPr>
        <w:t>A</w:t>
        <w:br/>
        <w:t>PROJECT REPORT ON</w:t>
      </w:r>
    </w:p>
    <w:p>
      <w:pPr>
        <w:spacing w:before="240" w:after="480" w:line="276" w:lineRule="auto"/>
        <w:jc w:val="center"/>
      </w:pPr>
      <w:r>
        <w:rPr>
          <w:rFonts w:ascii="Times New Roman" w:hAnsi="Times New Roman"/>
          <w:b/>
          <w:i w:val="0"/>
          <w:color w:val="123466"/>
          <w:sz w:val="32"/>
        </w:rPr>
        <w:t>A BLOCKCHAIN-BASED TAMPER-PROOF HEALTHCARE ARCHIVE AND EMERGENCY MEDICAL QR LEDGER (MEDIQR)</w:t>
      </w:r>
    </w:p>
    <w:p>
      <w:pPr>
        <w:spacing w:before="240" w:after="480" w:line="276" w:lineRule="auto"/>
        <w:jc w:val="center"/>
      </w:pPr>
      <w:r>
        <w:rPr>
          <w:rFonts w:ascii="Times New Roman" w:hAnsi="Times New Roman"/>
          <w:b/>
          <w:i w:val="0"/>
          <w:color w:val="000000"/>
          <w:sz w:val="22"/>
        </w:rPr>
        <w:t>SUBMITTED TO THE DR. BABASAHEB AMBEDKAR TECHNOLOGICAL UNIVERSITY</w:t>
        <w:br/>
        <w:t>IN THE PARTIAL FULFILLMENT OF THE REQUIREMENTS</w:t>
        <w:br/>
        <w:t>FOR THE AWARD OF THE DEGREE</w:t>
        <w:br/>
        <w:br/>
        <w:t>OF</w:t>
        <w:br/>
        <w:br/>
        <w:t>BACHELOR OF TECHNOLOGY (COMPUTER SCIENCE AND ENGINEERING)</w:t>
      </w:r>
    </w:p>
    <w:p>
      <w:pPr>
        <w:spacing w:before="240" w:after="720" w:line="276" w:lineRule="auto"/>
        <w:jc w:val="center"/>
      </w:pPr>
      <w:r>
        <w:rPr>
          <w:rFonts w:ascii="Times New Roman" w:hAnsi="Times New Roman"/>
          <w:b/>
          <w:i w:val="0"/>
          <w:color w:val="000000"/>
          <w:sz w:val="24"/>
        </w:rPr>
        <w:t>SUBMITTED BY</w:t>
        <w:br/>
        <w:br/>
        <w:t>SAKSHI D. THOMBARE      Exam No: 23025331242087</w:t>
        <w:br/>
        <w:t>PUSHPAK M. JAISWAL      Exam No: 23025331242099</w:t>
      </w:r>
    </w:p>
    <w:p>
      <w:pPr>
        <w:spacing w:before="360" w:after="360" w:line="276" w:lineRule="auto"/>
        <w:jc w:val="center"/>
      </w:pPr>
      <w:r>
        <w:rPr>
          <w:rFonts w:ascii="Times New Roman" w:hAnsi="Times New Roman"/>
          <w:b/>
          <w:i w:val="0"/>
          <w:color w:val="000000"/>
          <w:sz w:val="22"/>
        </w:rPr>
        <w:t>DEPARTMENT OF COMPUTER SCIENCE AND ENGINEERING</w:t>
        <w:br/>
        <w:t>CSMSS, CHH. SHAHU COLLEGE OF ENGINEERING</w:t>
        <w:br/>
        <w:t>KANCHANWADI, PAITHAN ROAD, CHHATRAPATI SAMBHAJINAGAR</w:t>
        <w:br/>
        <w:t>(AURANGABAD) - 431 002.</w:t>
        <w:br/>
        <w:t>DR. BABASAHEB AMBEDKAR TECHNOLOGICAL UNIVERSITY, LONERE.</w:t>
        <w:br/>
        <w:br/>
        <w:t>2026 - 2027</w:t>
      </w:r>
    </w:p>
    <w:p>
      <w:r>
        <w:br w:type="page"/>
      </w:r>
    </w:p>
    <w:p>
      <w:pPr>
        <w:keepNext/>
        <w:spacing w:before="480" w:after="360"/>
        <w:jc w:val="center"/>
      </w:pPr>
      <w:r>
        <w:rPr>
          <w:rFonts w:ascii="Times New Roman" w:hAnsi="Times New Roman"/>
          <w:b/>
          <w:i w:val="0"/>
          <w:color w:val="000000"/>
          <w:sz w:val="32"/>
        </w:rPr>
        <w:t>CERTIFICATE</w:t>
      </w:r>
    </w:p>
    <w:p>
      <w:pPr>
        <w:spacing w:before="0" w:after="240" w:line="276" w:lineRule="auto"/>
        <w:jc w:val="center"/>
      </w:pPr>
      <w:r>
        <w:rPr>
          <w:rFonts w:ascii="Times New Roman" w:hAnsi="Times New Roman"/>
          <w:b w:val="0"/>
          <w:i w:val="0"/>
          <w:color w:val="000000"/>
          <w:sz w:val="24"/>
        </w:rPr>
        <w:t>This is to certify that the project report entitled</w:t>
      </w:r>
    </w:p>
    <w:p>
      <w:pPr>
        <w:spacing w:before="0" w:after="360" w:line="276" w:lineRule="auto"/>
        <w:jc w:val="center"/>
      </w:pPr>
      <w:r>
        <w:rPr>
          <w:rFonts w:ascii="Times New Roman" w:hAnsi="Times New Roman"/>
          <w:b/>
          <w:i w:val="0"/>
          <w:color w:val="000000"/>
          <w:sz w:val="26"/>
        </w:rPr>
        <w:t>A BLOCKCHAIN-BASED TAMPER-PROOF HEALTHCARE ARCHIVE AND EMERGENCY MEDICAL QR LEDGER (MEDIQR)</w:t>
      </w:r>
    </w:p>
    <w:p>
      <w:pPr>
        <w:spacing w:before="0" w:after="360" w:line="276" w:lineRule="auto"/>
        <w:jc w:val="center"/>
      </w:pPr>
      <w:r>
        <w:rPr>
          <w:rFonts w:ascii="Times New Roman" w:hAnsi="Times New Roman"/>
          <w:b w:val="0"/>
          <w:i w:val="0"/>
          <w:color w:val="000000"/>
          <w:sz w:val="24"/>
        </w:rPr>
        <w:t>Submitted by</w:t>
        <w:br/>
        <w:br/>
        <w:t>SAKSHI D. THOMBARE       Exam No: 23025331242087</w:t>
        <w:br/>
        <w:t>PUSHPAK M. JAISWAL       Exam No: 23025331242099</w:t>
      </w:r>
    </w:p>
    <w:p>
      <w:pPr>
        <w:spacing w:before="0" w:after="960" w:line="276" w:lineRule="auto"/>
        <w:jc w:val="both"/>
      </w:pPr>
      <w:r>
        <w:rPr>
          <w:rFonts w:ascii="Times New Roman" w:hAnsi="Times New Roman"/>
          <w:b w:val="0"/>
          <w:i w:val="0"/>
          <w:color w:val="000000"/>
          <w:sz w:val="24"/>
        </w:rPr>
        <w:t>is a bonafide student of this institute and the work has been carried out by him/her under the supervision of Prof. N. Z. Patel and it is approved for the partial fulfillment of the requirement of Dr. Babasaheb Ambedkar Technological University, for the award of the degree of Bachelor of Technology (Computer Science and Engineering).</w:t>
      </w:r>
    </w:p>
    <w:p>
      <w:pPr>
        <w:spacing w:before="0" w:after="720" w:line="276" w:lineRule="auto"/>
        <w:jc w:val="center"/>
      </w:pPr>
      <w:r>
        <w:rPr>
          <w:rFonts w:ascii="Times New Roman" w:hAnsi="Times New Roman"/>
          <w:b/>
          <w:i w:val="0"/>
          <w:color w:val="000000"/>
          <w:sz w:val="21"/>
        </w:rPr>
        <w:t>(Prof. N. Z. Patel)                                                    (DR. S. P. Abhang)</w:t>
        <w:br/>
        <w:t>Guide                                                                     Head</w:t>
        <w:br/>
        <w:t>Computer Science &amp; Engineering                         Computer Science &amp; Engineering</w:t>
        <w:br/>
        <w:br/>
        <w:br/>
        <w:br/>
        <w:t>(DR. G. B. Dongare)</w:t>
        <w:br/>
        <w:t>Principal</w:t>
        <w:br/>
        <w:t>CSMSS, CHHATRAPATI SHAHU COLLEGE OF ENGINEERING,</w:t>
        <w:br/>
        <w:t>CHH. SAMBHAJINAGAR</w:t>
      </w:r>
    </w:p>
    <w:p>
      <w:pPr>
        <w:spacing w:before="0" w:after="120" w:line="276" w:lineRule="auto"/>
        <w:jc w:val="left"/>
      </w:pPr>
      <w:r>
        <w:rPr>
          <w:rFonts w:ascii="Times New Roman" w:hAnsi="Times New Roman"/>
          <w:b w:val="0"/>
          <w:i w:val="0"/>
          <w:color w:val="000000"/>
          <w:sz w:val="22"/>
        </w:rPr>
        <w:t>Place: Chh. Sambhajinagar</w:t>
        <w:br/>
        <w:t>Date:</w:t>
      </w:r>
    </w:p>
    <w:p>
      <w:r>
        <w:br w:type="page"/>
      </w:r>
    </w:p>
    <w:p>
      <w:pPr>
        <w:keepNext/>
        <w:spacing w:before="480" w:after="360"/>
        <w:jc w:val="center"/>
      </w:pPr>
      <w:r>
        <w:rPr>
          <w:rFonts w:ascii="Times New Roman" w:hAnsi="Times New Roman"/>
          <w:b/>
          <w:i w:val="0"/>
          <w:color w:val="000000"/>
          <w:sz w:val="32"/>
        </w:rPr>
        <w:t>ACKNOWLEDGEMENT</w:t>
      </w:r>
    </w:p>
    <w:p>
      <w:pPr>
        <w:spacing w:before="0" w:after="120" w:line="276" w:lineRule="auto"/>
        <w:jc w:val="both"/>
      </w:pPr>
      <w:r>
        <w:rPr>
          <w:rFonts w:ascii="Times New Roman" w:hAnsi="Times New Roman"/>
          <w:b w:val="0"/>
          <w:i w:val="0"/>
          <w:color w:val="000000"/>
          <w:sz w:val="24"/>
        </w:rPr>
        <w:t>We take immense pleasure in expressing our sincere gratitude to our esteemed guide Prof. N. Z. Patel for continuous encouragement, visionary technical guidance, and constructive criticism throughout the formulation and implementation of the project 'A Blockchain-Based Tamper-Proof Healthcare Archive and Emergency Medical QR Ledger (MediQR)'.</w:t>
      </w:r>
    </w:p>
    <w:p>
      <w:pPr>
        <w:spacing w:before="0" w:after="120" w:line="276" w:lineRule="auto"/>
        <w:jc w:val="both"/>
      </w:pPr>
      <w:r>
        <w:rPr>
          <w:rFonts w:ascii="Times New Roman" w:hAnsi="Times New Roman"/>
          <w:b w:val="0"/>
          <w:i w:val="0"/>
          <w:color w:val="000000"/>
          <w:sz w:val="24"/>
        </w:rPr>
        <w:t>We are deeply grateful to DR. S. P. Abhang, Head of the Computer Science and Engineering Department, for providing indispensable computing infrastructure, lab facilities, and academic resources that facilitated our research and experimental validation.</w:t>
      </w:r>
    </w:p>
    <w:p>
      <w:pPr>
        <w:spacing w:before="0" w:after="120" w:line="276" w:lineRule="auto"/>
        <w:jc w:val="both"/>
      </w:pPr>
      <w:r>
        <w:rPr>
          <w:rFonts w:ascii="Times New Roman" w:hAnsi="Times New Roman"/>
          <w:b w:val="0"/>
          <w:i w:val="0"/>
          <w:color w:val="000000"/>
          <w:sz w:val="24"/>
        </w:rPr>
        <w:t>We express our profound respect to DR. G. B. Dongare, Principal of CSMSS Chhatrapati Shahu College of Engineering, for fostering an inspiring research ecosystem that motivates student innovation toward solving real-world societal dilemmas.</w:t>
      </w:r>
    </w:p>
    <w:p>
      <w:pPr>
        <w:spacing w:before="0" w:after="720" w:line="276" w:lineRule="auto"/>
        <w:jc w:val="both"/>
      </w:pPr>
      <w:r>
        <w:rPr>
          <w:rFonts w:ascii="Times New Roman" w:hAnsi="Times New Roman"/>
          <w:b w:val="0"/>
          <w:i w:val="0"/>
          <w:color w:val="000000"/>
          <w:sz w:val="24"/>
        </w:rPr>
        <w:t>Finally, we extend our heartfelt appreciation to our parents, family members, faculty colleagues, and friends for their enduring patience, moral encouragement, and selfless support during the completion of this engineering report.</w:t>
      </w:r>
    </w:p>
    <w:p>
      <w:pPr>
        <w:spacing w:before="0" w:after="120" w:line="276" w:lineRule="auto"/>
        <w:jc w:val="right"/>
      </w:pPr>
      <w:r>
        <w:rPr>
          <w:rFonts w:ascii="Times New Roman" w:hAnsi="Times New Roman"/>
          <w:b/>
          <w:i w:val="0"/>
          <w:color w:val="000000"/>
          <w:sz w:val="22"/>
        </w:rPr>
        <w:t>SAKSHI D. THOMBARE (Exam No: 23025331242087)</w:t>
        <w:br/>
        <w:t>PUSHPAK M. JAISWAL (Exam No: 23025331242099)</w:t>
      </w:r>
    </w:p>
    <w:p>
      <w:r>
        <w:br w:type="page"/>
      </w:r>
    </w:p>
    <w:p>
      <w:pPr>
        <w:keepNext/>
        <w:spacing w:before="480" w:after="360"/>
        <w:jc w:val="center"/>
      </w:pPr>
      <w:r>
        <w:rPr>
          <w:rFonts w:ascii="Times New Roman" w:hAnsi="Times New Roman"/>
          <w:b/>
          <w:i w:val="0"/>
          <w:color w:val="000000"/>
          <w:sz w:val="32"/>
        </w:rPr>
        <w:t>ABSTRACT</w:t>
      </w:r>
    </w:p>
    <w:p>
      <w:pPr>
        <w:spacing w:before="0" w:after="120" w:line="276" w:lineRule="auto"/>
        <w:jc w:val="both"/>
      </w:pPr>
      <w:r>
        <w:rPr>
          <w:rFonts w:ascii="Times New Roman" w:hAnsi="Times New Roman"/>
          <w:b w:val="0"/>
          <w:i w:val="0"/>
          <w:color w:val="000000"/>
          <w:sz w:val="24"/>
        </w:rPr>
        <w:t>Modern healthcare delivery is critically hindered by the data fragmentation of proprietary Electronic Health Record (EHR) systems. In acute roadside emergencies, trauma surgeons and emergency medical technicians (EMTs) face informational blindness regarding unconscious victims' blood groups, critical drug allergies, and past cardiac surgeries. Existing centralized EHR portals (Epic, Cerner) require complex federated credentials, multi-factor logins, or SMS authentications that are impossible to execute during roadside triage. Conversely, printing complete clinical histories on unencrypted physical medical QR cards exposes private protected health information (PHI) to unauthorized visual eavesdropping and causes mobile cameras to freeze due to optical moiré interference. Furthermore, centralized cloud databases remain vulnerable to silent retrospective tampering by rogue database administrators or ransomware syndicates.</w:t>
      </w:r>
    </w:p>
    <w:p>
      <w:pPr>
        <w:spacing w:before="0" w:after="120" w:line="276" w:lineRule="auto"/>
        <w:jc w:val="both"/>
      </w:pPr>
      <w:r>
        <w:rPr>
          <w:rFonts w:ascii="Times New Roman" w:hAnsi="Times New Roman"/>
          <w:b w:val="0"/>
          <w:i w:val="0"/>
          <w:color w:val="000000"/>
          <w:sz w:val="24"/>
        </w:rPr>
        <w:t>To eliminate this life-critical trilemma, this project presents MediQR: an enterprise-grade, decentralized healthcare archive and emergency medical QR ledger. MediQR implements a dual-segment decoupled architecture that isolates lightweight emergency triage tokens from deeply encrypted longitudinal medical dossiers. Emergency vitals (blood group, anaphylactic drug allergies, chronic conditions, and ICE emergency contacts) are serialized into a highly optimized URI parameter schema under 95 characters, generating a low-density Version 4 (33x33 matrix) QR code capable of rendering on any standard smartphone camera or Google Lens OCR parser within 1.5 seconds without active internet connectivity.</w:t>
      </w:r>
    </w:p>
    <w:p>
      <w:pPr>
        <w:spacing w:before="0" w:after="360" w:line="276" w:lineRule="auto"/>
        <w:jc w:val="both"/>
      </w:pPr>
      <w:r>
        <w:rPr>
          <w:rFonts w:ascii="Times New Roman" w:hAnsi="Times New Roman"/>
          <w:b w:val="0"/>
          <w:i w:val="0"/>
          <w:color w:val="000000"/>
          <w:sz w:val="24"/>
        </w:rPr>
        <w:t>For longitudinal clinical dossiers, MediQR enforces client-side authenticated AES-256-GCM encryption in browser memory via the Web Crypto API, ensuring zero-trust privacy across storage relays. The deterministic 32-byte SHA-256 fingerprint of the encrypted clinical archive is anchored onto an EVM-compatible consortium smart contract (MedicalRecordLedger.sol) implementing hierarchical Role-Based Access Control (RBAC). Patient identities are pseudonymized via salted HMAC-SHA256 query tokens. Attending physician workstations enforce 500 DPI optical biometric fingerprint authentication before decrypting clinical records. In addition, the system introduces a physical titanium-infused smart keycard adhering to ISO/IEC 7810 ID-1 standards with embedded passive NTAG216 NFC contactless telemetry, an integrated 4-step on-chain patient provisioning portal (/book), and an interactive 3D SVG isometric projection engine visualizing multi-node ledger interactions. Experimental benchmarks confirm sub-5ms cryptographic verification latency, 100% optical QR scan reliability, and zero gas-cost overhead on private healthcare validator subnets.</w:t>
      </w:r>
    </w:p>
    <w:p>
      <w:pPr>
        <w:spacing w:before="0" w:after="120" w:line="276" w:lineRule="auto"/>
        <w:jc w:val="both"/>
      </w:pPr>
      <w:r>
        <w:rPr>
          <w:rFonts w:ascii="Times New Roman" w:hAnsi="Times New Roman"/>
          <w:b/>
          <w:i w:val="0"/>
          <w:color w:val="000000"/>
          <w:sz w:val="22"/>
        </w:rPr>
        <w:t>Keywords: Healthcare Blockchain, Medical QR Ledger, Roadside Emergency Triage, AES-256-GCM, Smart Contracts, SHA-256 Tamper Detection, Biometric Gatekeeper, FHIR Interoperability, Physical Smart Card, 3D Isometric Projection, DPDP Act 2023.</w:t>
      </w:r>
    </w:p>
    <w:p>
      <w:r>
        <w:br w:type="page"/>
      </w:r>
    </w:p>
    <w:p>
      <w:pPr>
        <w:keepNext/>
        <w:spacing w:before="480" w:after="360"/>
        <w:jc w:val="center"/>
      </w:pPr>
      <w:r>
        <w:rPr>
          <w:rFonts w:ascii="Times New Roman" w:hAnsi="Times New Roman"/>
          <w:b/>
          <w:i w:val="0"/>
          <w:color w:val="000000"/>
          <w:sz w:val="32"/>
        </w:rPr>
        <w:t>TABLE OF CONTENTS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Sr. No.</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Title of Chapter</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Page No.</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Certificate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Acknowledgement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ii</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Abstract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iii</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Abbreviations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iv</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Figures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v</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List of Tables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vi</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Introduction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1.1  Overview &amp; Roadside Emergency Trilemma</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1.2  Motivation: Blockchain as Provenance Seal vs. Storage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1.3  Problem Definition and Engineering Objectives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1.4  Project Scope &amp; Practical Boundaries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1.5  Methodologies of Problem Solving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Literature Survey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2.1  Survey of Seminal Blockchain Healthcare Architectures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2.2  Privacy-Preserving Access Control and Interoperability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2.3  Regulatory, Cryptographic, and Optical Standards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2.4  Comparative Literature Matrix of Prior Frameworks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2.5  Gap Identification and MediQR Architectural Innovations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9</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Software Requirements Specification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10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3.1  Assumptions and Dependencies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3.2  Functional Requirements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3.3  External Interface Requirements (UI, Hardware, Software, API)</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3.4  Nonfunctional Requirements (Security, Latency, Safety)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3.5  System Requirements (Hardware, Software, Validator Platforms)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3.6  Analysis Model: SDLC Incremental Engineering Lifecycle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System Design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15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4.1  System Architecture (3-Tier Decoupled Pipeline)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4.2  Mathematical &amp; Cryptographic Model (HMAC, AES-GCM, Gas)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16</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4.3  Data Flow Diagrams (Level 0 Context, Level 1, Level 2 Pipeline)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4.4  Entity-Relationship / On-Chain &amp; Off-Chain Data Model</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  UML Structural &amp; Behavioral Modeling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4.5.1  UML Use Case Diagram (Actors &amp; RBAC Boundary)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4.5.2  UML Sequence Diagram (Cross-Hospital Record Exchange)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4.5.3  UML Class and Module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4.5.4  UML Component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4.5.5  UML Deployment Diagram</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4.5.6  UML State Machine Diagram (Record Lifecycle)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26</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4.6  Interactive 3D Isometric Projection Architecture &amp; Scrollytelling Engine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05</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Project Plan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28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5.1  Project Estimate (Work Breakdown Structure &amp; Resources)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5.2  Risk Management Matrix &amp; Mitigation Strategies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29</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5.3  Project Schedule (12-Week Gantt Chart &amp; Critical Path)</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5.4  Team Organization &amp; Responsibility Assignment Matrix</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06</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Project Implementation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32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6.1  Overview of MediQR Subsystem Modules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6.2  Tools, Libraries, and Technology Stack</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6.3  Algorithm Formulations (HMAC Derivation, AES-GCM, Compact QR)</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6.4  Physical Smart Card Artifact Engineering &amp; NFC Dual-Segment Integration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36</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6.5  Smart Card On-Chain Provisioning &amp; Appointment Booking Portal (/book)</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07</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Software Testing</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40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7.1  Testing Methodologies &amp; Verification Strategy</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7.2  Unit Test Suite (NIST Vectors &amp; Smart Contract Assertions)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7.3  Integration Testing &amp; Bit-Flip Forensic Tamper Scenarios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08</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Result Analysis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43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8.1  Empirical Outcomes &amp; Benchmark Comparisons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8.2  Screen Shots &amp; Production User Workflows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09</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Conclusion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i w:val="0"/>
                <w:color w:val="000000"/>
                <w:sz w:val="21"/>
              </w:rPr>
              <w:t>47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9.1  Conclusions &amp; Key Achievements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9.2  Future Research &amp; Production Enhancements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 xml:space="preserve">    9.3  Societal &amp; Clinical Applications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A: Feasibility &amp; Complexity Assessment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49</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B: Paper Publication / Presentation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Appendix C: Plagiarism Report</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i w:val="0"/>
                <w:color w:val="000000"/>
                <w:sz w:val="21"/>
              </w:rPr>
              <w:t>References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53</w:t>
            </w:r>
          </w:p>
        </w:tc>
      </w:tr>
    </w:tbl>
    <w:p>
      <w:pPr>
        <w:spacing w:before="0" w:after="120"/>
      </w:pPr>
    </w:p>
    <w:p>
      <w:r>
        <w:br w:type="page"/>
      </w:r>
    </w:p>
    <w:p>
      <w:pPr>
        <w:keepNext/>
        <w:spacing w:before="480" w:after="360"/>
        <w:jc w:val="center"/>
      </w:pPr>
      <w:r>
        <w:rPr>
          <w:rFonts w:ascii="Times New Roman" w:hAnsi="Times New Roman"/>
          <w:b/>
          <w:i w:val="0"/>
          <w:color w:val="000000"/>
          <w:sz w:val="32"/>
        </w:rPr>
        <w:t>LIST OF ABBREVIATIONS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172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Abbreviation</w:t>
            </w:r>
          </w:p>
        </w:tc>
        <w:tc>
          <w:tcPr>
            <w:tcW w:type="dxa" w:w="547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Full Expansion</w:t>
            </w:r>
          </w:p>
        </w:tc>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Contextual Domain</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ABDM</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Ayushman Bharat Digital Mission (Govt. of India)</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ABHA</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Ayushman Bharat Health Account (14-digit National Health ID)</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ABI</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Application Binary Interface (Solidity Contract Specification)</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AES-GCM</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Advanced Encryption Standard - Galois/Counter Mode (Authenticated 256-bit)</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API</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Application Programming Interface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BLOB</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Binary Large Object (Encrypted Clinical JSON Payload)</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DFD</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DID</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Decentralized Identifier (W3C Standard v1.0)</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DPI</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Dots Per Inch (Biometric Fingerprint Optical Resolution)</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DPDP</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Digital Personal Data Protection Act (India, 2023)</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EHR</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Electronic Health Record (Longitudinal Hospital Dossier)</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EMR</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Electronic Medical Record (Institutional Clinical Chart)</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EMT</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Emergency Medical Technician / First Responder</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EVM</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Ethereum Virtual Machine (Deterministic Smart Contract Runtime)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FHIR</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Fast Healthcare Interoperability Resources (HL7 Standard Release 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GCM</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Galois/Counter Mode (Authenticated Symmetric Cipher Mode)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GDPR</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General Data Protection Regulation (European Union 2016/679)</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HIPAA</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 Insurance Portability and Accountability Act (USA)</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HMAC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Hash-based Message Authentication Code (RFC 2104)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ICE</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 Case of Emergency (Emergency Contact Phone Pointer)</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IPFS</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InterPlanetary File System (Peer-to-Peer Content Addressable Storage)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JSON-RPC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JavaScript Object Notation Remote Procedure Call (EVM Protocol)</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MAC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Message Authentication Code (128-bit GCM Cryptographic Tag)</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NFC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Near Field Communication (ISO/IEC 14443-A Contactless 13.56 MHz Standard)</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NIST</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National Institute of Standards and Technology (USA)</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OCR</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Optical Character Recognition (Google Lens Mobile Subsystem)</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PBKDF2</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Password-Based Key Derivation Function 2 (RFC 2898)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PHI</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Protected Health Information (Statutory Confidential Patient Data)</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Security</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QBFT</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Quorum Byzantine Fault Tolerance (Consortium EVM Consensus)</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QR Code</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Quick Response 2D Matrix Barcode (ISO/IEC 18004:2015)</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RBAC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Role-Based Access Control (Hierarchical Permission Ledger)</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REST</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Representational State Transfer (HTTP API Architecture)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SDLC</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Software Development Life Cycle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SHA-256</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Secure Hash Algorithm 256-bit (NIST FIPS PUB 180-4)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SRS</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Software Requirements Specification (IEEE Std 830-1998)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SVG</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Scalable Vector Graphics (W3C Interactive Coordinate Projection)</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UML</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Unified Modeling Language (ISO/IEC 19505)</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UUID</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Universally Unique Identifier (RFC 4122)</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r>
        <w:trPr>
          <w:cantSplit/>
        </w:trPr>
        <w:tc>
          <w:tcPr>
            <w:tcW w:type="dxa" w:w="1728"/>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WBS</w:t>
            </w:r>
          </w:p>
        </w:tc>
        <w:tc>
          <w:tcPr>
            <w:tcW w:type="dxa" w:w="54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Work Breakdown Structure (Project Management Lifecycle)</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&amp; Systems</w:t>
            </w:r>
          </w:p>
        </w:tc>
      </w:tr>
    </w:tbl>
    <w:p>
      <w:pPr>
        <w:spacing w:before="0" w:after="120"/>
      </w:pPr>
    </w:p>
    <w:p>
      <w:r>
        <w:br w:type="page"/>
      </w:r>
    </w:p>
    <w:p>
      <w:pPr>
        <w:keepNext/>
        <w:spacing w:before="480" w:after="360"/>
        <w:jc w:val="center"/>
      </w:pPr>
      <w:r>
        <w:rPr>
          <w:rFonts w:ascii="Times New Roman" w:hAnsi="Times New Roman"/>
          <w:b/>
          <w:i w:val="0"/>
          <w:color w:val="000000"/>
          <w:sz w:val="32"/>
        </w:rPr>
        <w:t>LIST OF FIGURES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Figure</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Illustration / Schematic Title</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Page No.</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High-level architectural view of the MediQR dual-segment system [1], [12], [15]</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Incremental software engineering SDLC process model applied to MediQR [8], [9]</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3-Tier decoupled system architecture: client, hospital appliance, EVM ledger [2], [5], [10]</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Context-level data flow diagram (Level 0 DFD) showing external entities [1], [6], [14]</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 Level 1: clinical triage, biometrics, and hash anchoring [7], [11], [12]</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Data flow diagram, Level 2: record encryption, tag calculation, and storage pipeline [11], [15]</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19</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4.5</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On-chain and off-chain data model (Entity-Relationship diagram) [3], [13]</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4.6</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use case diagram: paramedic, attending doctor, hospital admin, and govt installer [2], [7]</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4.7</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sequence diagram: cross-hospital emergency record verification and decryption [6], [8]</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4.8</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class and module structural diagram: core cryptography, ledger client, and UI [4], [11]</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4.9</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component diagram of Next.js runtime, Docker appliance, and Hardhat node [5], [10]</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4.10</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deployment diagram: mobile paramedic device, hospital servers, EVM peer nodes [5], [8]</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4.11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UML state machine diagram: medical record lifecycle and forensic tamper detection [7], [8]</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26</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Project timeline (12-week Gantt chart &amp; critical path milestone schedule)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Benchmarking visual charts: throughput, latency, and QR matrix scan times [12], [14]</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44</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Screen shot: roadside emergency triage terminal interface on mobile viewport [12], [14]</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8.3</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Screen shot: doctor clinical workstation with biometric verification badge [2], [7]</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8.4</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Screen shot: government commissioning appliance &amp; forensic tamper alert console [1], [11]</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46</w:t>
            </w:r>
          </w:p>
        </w:tc>
      </w:tr>
    </w:tbl>
    <w:p>
      <w:pPr>
        <w:spacing w:before="0" w:after="120"/>
      </w:pPr>
    </w:p>
    <w:p>
      <w:r>
        <w:br w:type="page"/>
      </w:r>
    </w:p>
    <w:p>
      <w:pPr>
        <w:keepNext/>
        <w:spacing w:before="480" w:after="360"/>
        <w:jc w:val="center"/>
      </w:pPr>
      <w:r>
        <w:rPr>
          <w:rFonts w:ascii="Times New Roman" w:hAnsi="Times New Roman"/>
          <w:b/>
          <w:i w:val="0"/>
          <w:color w:val="000000"/>
          <w:sz w:val="32"/>
        </w:rPr>
        <w:t>LIST OF TABLES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Table</w:t>
            </w:r>
          </w:p>
        </w:tc>
        <w:tc>
          <w:tcPr>
            <w:tcW w:type="dxa" w:w="66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Caption &amp; Description</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Page No.</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Comparative literature matrix of healthcare blockchain and emergency data sharing frameworks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Summary of MediQR functional requirements (FR 3.2.1 to FR 3.2.8)</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11</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Hardware, software, and validator environment specifications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13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Project task set, WBS allocation, and engineering effort estimates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Healthcare cybersecurity and deployment risk register with mitigation strategies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29</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6.1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On-chain gas consumption and cryptographic execution latency reference</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Cryptographic unit test suite summary (NIST vectors &amp; smart contract assertions)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40</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7.2</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System integration test cases: cross-hospital exchange &amp; bit-flip tamper rejection</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8.1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Empirical benchmark analysis: MediQR vs. Centralized FHIR vs. Public IPFS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43</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A.1</w:t>
            </w:r>
          </w:p>
        </w:tc>
        <w:tc>
          <w:tcPr>
            <w:tcW w:type="dxa" w:w="66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Algorithmic time and space complexity of MediQR core operations</w:t>
            </w:r>
          </w:p>
        </w:tc>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50</w:t>
            </w:r>
          </w:p>
        </w:tc>
      </w:tr>
    </w:tbl>
    <w:p>
      <w:pPr>
        <w:spacing w:before="0" w:after="120"/>
      </w:pPr>
    </w:p>
    <w:p>
      <w:r>
        <w:br w:type="page"/>
      </w:r>
    </w:p>
    <w:p>
      <w:pPr>
        <w:keepNext/>
        <w:spacing w:before="360" w:after="360"/>
        <w:jc w:val="center"/>
      </w:pPr>
      <w:r>
        <w:rPr>
          <w:rFonts w:ascii="Times New Roman" w:hAnsi="Times New Roman"/>
          <w:b/>
          <w:i w:val="0"/>
          <w:color w:val="000000"/>
          <w:sz w:val="32"/>
        </w:rPr>
        <w:t>CHAPTER 1</w:t>
        <w:br/>
        <w:t>INTRODUCTION</w:t>
      </w:r>
    </w:p>
    <w:p>
      <w:pPr>
        <w:keepNext/>
        <w:spacing w:before="280" w:after="120"/>
        <w:jc w:val="left"/>
      </w:pPr>
      <w:r>
        <w:rPr>
          <w:rFonts w:ascii="Times New Roman" w:hAnsi="Times New Roman"/>
          <w:b/>
          <w:i w:val="0"/>
          <w:color w:val="000000"/>
          <w:sz w:val="26"/>
        </w:rPr>
        <w:t>1.1 OVERVIEW &amp; ROADSIDE EMERGENCY TRILEMMA</w:t>
      </w:r>
    </w:p>
    <w:p>
      <w:pPr>
        <w:spacing w:before="0" w:after="120" w:line="276" w:lineRule="auto"/>
        <w:jc w:val="both"/>
      </w:pPr>
      <w:r>
        <w:rPr>
          <w:rFonts w:ascii="Times New Roman" w:hAnsi="Times New Roman"/>
          <w:b w:val="0"/>
          <w:i w:val="0"/>
          <w:color w:val="000000"/>
          <w:sz w:val="24"/>
        </w:rPr>
        <w:t>The modern healthcare ecosystem is profoundly fragmented. When a citizen experiences severe vehicular trauma or acute medical distress away from their primary care provider, receiving emergency medical technicians (EMTs) and emergency room (ER) trauma surgeons operate in total informational blindness. According to trauma medicine protocols, the first sixty minutes following acute physiological injury—universally recognized as the 'Golden Hour'—dictate clinical survival probabilities. Within this vital window, attending clinicians must execute life-critical pharmacological and surgical interventions, including blood transfusions, emergency anesthesia, rapid intubation, and broad-spectrum antibiotic administration. However, discovering whether an unconscious patient has an O-negative blood type, an anaphylactic hypersensitivity to Penicillin, an implanted cardiac pacemaker, or active anticoagulant therapy currently relies on conscious patient recall, physical wallet cards, or telephone coordination between rival hospital administrations.</w:t>
      </w:r>
    </w:p>
    <w:p>
      <w:pPr>
        <w:spacing w:before="0" w:after="120" w:line="276" w:lineRule="auto"/>
        <w:jc w:val="both"/>
      </w:pPr>
      <w:r>
        <w:rPr>
          <w:rFonts w:ascii="Times New Roman" w:hAnsi="Times New Roman"/>
          <w:b w:val="0"/>
          <w:i w:val="0"/>
          <w:color w:val="000000"/>
          <w:sz w:val="24"/>
        </w:rPr>
        <w:t>Existing Electronic Health Record (EHR) platforms fail to resolve this roadside dilemma. Centralized architectures deployed by commercial enterprises (e.g., Epic Systems, Cerner Millennium, and regional hospital database servers) function as walled gardens. While these systems manage internal hospital billing and inpatient charting effectively, they lack universal zero-trust interoperability. A municipal hospital database in Chhatrapati Sambhajinagar cannot natively query clinical records established at a private hospital in Delhi without pre-negotiated bilateral federation compacts, administrative credential provisioning, or SMS one-time passwords delivered to an unconscious patient's locked smartphone [6], [14].</w:t>
      </w:r>
    </w:p>
    <w:p>
      <w:pPr>
        <w:spacing w:before="0" w:after="120" w:line="276" w:lineRule="auto"/>
        <w:jc w:val="both"/>
      </w:pPr>
      <w:r>
        <w:rPr>
          <w:rFonts w:ascii="Times New Roman" w:hAnsi="Times New Roman"/>
          <w:b w:val="0"/>
          <w:i w:val="0"/>
          <w:color w:val="000000"/>
          <w:sz w:val="24"/>
        </w:rPr>
        <w:t>To overcome these systemic bottlenecks without compromising patient confidentiality, this project presents MediQR: an enterprise-grade, decentralized healthcare archive and dual-segment optical triage ledger. MediQR bridges the gap between roadside emergency first response and longitudinal clinical provenance through a hybrid decentralized architecture. By isolating lightweight emergency triage data from deeply encrypted longitudinal clinical archives, MediQR provides sub-2-second offline optical access to first responders while ensuring that comprehensive medical dossiers remain mathematically protected by client-side AES-256-GCM encryption, authenticated by immutable on-chain SHA-256 fingerprints anchored to an EVM-compatible consortium blockchain [1], [11], [15].</w:t>
      </w:r>
    </w:p>
    <w:p>
      <w:pPr>
        <w:spacing w:before="160" w:after="80"/>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Figure 1.1 High-Level System Architecture.png"/>
                    <pic:cNvPicPr/>
                  </pic:nvPicPr>
                  <pic:blipFill>
                    <a:blip r:embed="rId10"/>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1.1: </w:t>
      </w:r>
      <w:r>
        <w:rPr>
          <w:rFonts w:ascii="Times New Roman" w:hAnsi="Times New Roman"/>
          <w:b w:val="0"/>
          <w:i/>
          <w:color w:val="000000"/>
          <w:sz w:val="22"/>
        </w:rPr>
        <w:t>High-level architectural view of the MediQR dual-segment system</w:t>
      </w:r>
      <w:r>
        <w:rPr>
          <w:rFonts w:ascii="Times New Roman" w:hAnsi="Times New Roman"/>
          <w:b/>
          <w:i w:val="0"/>
          <w:color w:val="000000"/>
          <w:sz w:val="22"/>
        </w:rPr>
        <w:t xml:space="preserve"> [1], [12], [15]</w:t>
      </w:r>
    </w:p>
    <w:p>
      <w:pPr>
        <w:keepNext/>
        <w:spacing w:before="280" w:after="120"/>
        <w:jc w:val="left"/>
      </w:pPr>
      <w:r>
        <w:rPr>
          <w:rFonts w:ascii="Times New Roman" w:hAnsi="Times New Roman"/>
          <w:b/>
          <w:i w:val="0"/>
          <w:color w:val="000000"/>
          <w:sz w:val="26"/>
        </w:rPr>
        <w:t>1.2 MOTIVATION: BLOCKCHAIN AS PROVENANCE SEAL VS. STORAGE</w:t>
      </w:r>
    </w:p>
    <w:p>
      <w:pPr>
        <w:spacing w:before="0" w:after="120" w:line="276" w:lineRule="auto"/>
        <w:jc w:val="both"/>
      </w:pPr>
      <w:r>
        <w:rPr>
          <w:rFonts w:ascii="Times New Roman" w:hAnsi="Times New Roman"/>
          <w:b w:val="0"/>
          <w:i w:val="0"/>
          <w:color w:val="000000"/>
          <w:sz w:val="24"/>
        </w:rPr>
        <w:t>The motivation behind MediQR does not stem from a naive proposition that distributed blockchains should directly store all medical records. Storing multi-megabyte clinical histories, high-resolution radiological DICOM scans, or identifiable patient demographic records directly on a public blockchain ledger is fundamentally flawed: on-chain storage on public blockchains is economically prohibitive (costing upwards of $20,000 to store a single gigabyte of data via EVM SSTORE instructions), and permanently recording private health information violates international statutory frameworks including the European Union's General Data Protection Regulation (GDPR Article 17, 'Right to be Forgotten'), the United States' Health Insurance Portability and Accountability Act (HIPAA), and India's Digital Personal Data Protection (DPDP) Act of 2023 [15].</w:t>
      </w:r>
    </w:p>
    <w:p>
      <w:pPr>
        <w:spacing w:before="0" w:after="120" w:line="276" w:lineRule="auto"/>
        <w:jc w:val="both"/>
      </w:pPr>
      <w:r>
        <w:rPr>
          <w:rFonts w:ascii="Times New Roman" w:hAnsi="Times New Roman"/>
          <w:b w:val="0"/>
          <w:i w:val="0"/>
          <w:color w:val="000000"/>
          <w:sz w:val="24"/>
        </w:rPr>
        <w:t>Instead, the genesis of MediQR arises from identifying a very specific cryptographic boundary: blockchains are uniquely suited for immutable state machines, tamper-evident timestamping, non-repudiable audit logging, and decentralized identity governance [1], [2]. In traditional centralized hospital servers, a privileged database administrator, rogue insider, or malicious ransomware intruder possessing root credentials can silently alter prescription dosages, rewrite surgical histories, or delete disciplinary records without leaving an external audit trail. By separating storage from provenance—anchoring only a deterministic 32-byte cryptographic fingerprint (SHA-256) onto an EVM consortium smart contract while keeping encrypted data in localized hospital appliances—MediQR establishes an unforgeable digital wax seal that proves record integrity with zero risk of PHI leakage [8], [11].</w:t>
      </w:r>
    </w:p>
    <w:p>
      <w:pPr>
        <w:keepNext/>
        <w:spacing w:before="280" w:after="120"/>
        <w:jc w:val="left"/>
      </w:pPr>
      <w:r>
        <w:rPr>
          <w:rFonts w:ascii="Times New Roman" w:hAnsi="Times New Roman"/>
          <w:b/>
          <w:i w:val="0"/>
          <w:color w:val="000000"/>
          <w:sz w:val="26"/>
        </w:rPr>
        <w:t>1.3 PROBLEM DEFINITION AND ENGINEERING OBJECTIVES</w:t>
      </w:r>
    </w:p>
    <w:p>
      <w:pPr>
        <w:spacing w:before="0" w:after="120" w:line="276" w:lineRule="auto"/>
        <w:jc w:val="both"/>
      </w:pPr>
      <w:r>
        <w:rPr>
          <w:rFonts w:ascii="Times New Roman" w:hAnsi="Times New Roman"/>
          <w:b w:val="0"/>
          <w:i w:val="0"/>
          <w:color w:val="000000"/>
          <w:sz w:val="24"/>
        </w:rPr>
        <w:t>Problem Statement: Existing emergency and clinical healthcare archives suffer from an irreconcilable trilemma: centralized systems create administrative bottlenecks and single points of data tampering; paper and standard QR identity cards expose confidential medical histories to public visual snooping; and direct on-chain blockchain storage violates patient privacy statutes while incurring prohibitive transaction costs. There is no existing infrastructure that simultaneously guarantees sub-2-second roadside emergency triage retrieval, zero-trust cross-hospital record sharing, and mathematical non-repudiation against internal data tampering.</w:t>
      </w:r>
    </w:p>
    <w:p>
      <w:pPr>
        <w:spacing w:before="0" w:after="80" w:line="276" w:lineRule="auto"/>
        <w:jc w:val="left"/>
      </w:pPr>
      <w:r>
        <w:rPr>
          <w:rFonts w:ascii="Times New Roman" w:hAnsi="Times New Roman"/>
          <w:b w:val="0"/>
          <w:i w:val="0"/>
          <w:color w:val="000000"/>
          <w:sz w:val="24"/>
        </w:rPr>
        <w:t>Key Engineering Objectives:</w:t>
      </w:r>
    </w:p>
    <w:p>
      <w:pPr>
        <w:pStyle w:val="ListBullet"/>
        <w:spacing w:before="0" w:after="80" w:line="276" w:lineRule="auto"/>
      </w:pPr>
      <w:r>
        <w:rPr>
          <w:rFonts w:ascii="Times New Roman" w:hAnsi="Times New Roman"/>
          <w:b/>
          <w:i w:val="0"/>
          <w:color w:val="000000"/>
          <w:sz w:val="24"/>
        </w:rPr>
        <w:t xml:space="preserve">1. Dual-Segment Optical Tokenization: </w:t>
      </w:r>
      <w:r>
        <w:rPr>
          <w:rFonts w:ascii="Times New Roman" w:hAnsi="Times New Roman"/>
          <w:b w:val="0"/>
          <w:i w:val="0"/>
          <w:color w:val="000000"/>
          <w:sz w:val="24"/>
        </w:rPr>
        <w:t>Design and implement a compact QR generation algorithm that encodes critical emergency parameters (name, blood group, anaphylactic allergies, conditions, and phone contacts) into a URI payload under 95 characters, preventing optical moiré distortion and loading on any standard smartphone camera within 1.5 seconds [12].</w:t>
      </w:r>
    </w:p>
    <w:p>
      <w:pPr>
        <w:pStyle w:val="ListBullet"/>
        <w:spacing w:before="0" w:after="80" w:line="276" w:lineRule="auto"/>
      </w:pPr>
      <w:r>
        <w:rPr>
          <w:rFonts w:ascii="Times New Roman" w:hAnsi="Times New Roman"/>
          <w:b/>
          <w:i w:val="0"/>
          <w:color w:val="000000"/>
          <w:sz w:val="24"/>
        </w:rPr>
        <w:t xml:space="preserve">2. Client-Side Cryptographic Vault: </w:t>
      </w:r>
      <w:r>
        <w:rPr>
          <w:rFonts w:ascii="Times New Roman" w:hAnsi="Times New Roman"/>
          <w:b w:val="0"/>
          <w:i w:val="0"/>
          <w:color w:val="000000"/>
          <w:sz w:val="24"/>
        </w:rPr>
        <w:t>Implement an authenticated encryption pipeline leveraging AES-256-GCM inside the practitioner's browser memory (via Web Crypto API), ensuring that hospital storage servers and transport relays hold only encrypted ciphertext and 128-bit authentication tags [11].</w:t>
      </w:r>
    </w:p>
    <w:p>
      <w:pPr>
        <w:pStyle w:val="ListBullet"/>
        <w:spacing w:before="0" w:after="80" w:line="276" w:lineRule="auto"/>
      </w:pPr>
      <w:r>
        <w:rPr>
          <w:rFonts w:ascii="Times New Roman" w:hAnsi="Times New Roman"/>
          <w:b/>
          <w:i w:val="0"/>
          <w:color w:val="000000"/>
          <w:sz w:val="24"/>
        </w:rPr>
        <w:t xml:space="preserve">3. Consortium Smart Contract Ledger: </w:t>
      </w:r>
      <w:r>
        <w:rPr>
          <w:rFonts w:ascii="Times New Roman" w:hAnsi="Times New Roman"/>
          <w:b w:val="0"/>
          <w:i w:val="0"/>
          <w:color w:val="000000"/>
          <w:sz w:val="24"/>
        </w:rPr>
        <w:t>Develop and formally verify a Solidity smart contract (MedicalRecordLedger.sol) implementing hierarchical Role-Based Access Control (Consortium Root Admin -&gt; Hospital Admin -&gt; Doctor), cascading hospital suspensions, and immutable SHA-256 record fingerprint anchoring [1], [2].</w:t>
      </w:r>
    </w:p>
    <w:p>
      <w:pPr>
        <w:pStyle w:val="ListBullet"/>
        <w:spacing w:before="0" w:after="80" w:line="276" w:lineRule="auto"/>
      </w:pPr>
      <w:r>
        <w:rPr>
          <w:rFonts w:ascii="Times New Roman" w:hAnsi="Times New Roman"/>
          <w:b/>
          <w:i w:val="0"/>
          <w:color w:val="000000"/>
          <w:sz w:val="24"/>
        </w:rPr>
        <w:t xml:space="preserve">4. Pseudonymous Query Tokenization: </w:t>
      </w:r>
      <w:r>
        <w:rPr>
          <w:rFonts w:ascii="Times New Roman" w:hAnsi="Times New Roman"/>
          <w:b w:val="0"/>
          <w:i w:val="0"/>
          <w:color w:val="000000"/>
          <w:sz w:val="24"/>
        </w:rPr>
        <w:t>Formulate a salted HMAC-SHA256 patient identification algorithm that derives deterministic 32-byte lookup tokens without exposing national identity numbers (Aadhaar/ABHA) or demographic records on-chain [13], [15].</w:t>
      </w:r>
    </w:p>
    <w:p>
      <w:pPr>
        <w:pStyle w:val="ListBullet"/>
        <w:spacing w:before="0" w:after="80" w:line="276" w:lineRule="auto"/>
      </w:pPr>
      <w:r>
        <w:rPr>
          <w:rFonts w:ascii="Times New Roman" w:hAnsi="Times New Roman"/>
          <w:b/>
          <w:i w:val="0"/>
          <w:color w:val="000000"/>
          <w:sz w:val="24"/>
        </w:rPr>
        <w:t xml:space="preserve">5. Biometric Workstation Gatekeeper: </w:t>
      </w:r>
      <w:r>
        <w:rPr>
          <w:rFonts w:ascii="Times New Roman" w:hAnsi="Times New Roman"/>
          <w:b w:val="0"/>
          <w:i w:val="0"/>
          <w:color w:val="000000"/>
          <w:sz w:val="24"/>
        </w:rPr>
        <w:t>Integrate hardware-compliant optical biometric fingerprint verification (500 DPI minutiae extraction) into the clinical workstation, enforcing physical practitioner presence before authorizing local AES decryption [7].</w:t>
      </w:r>
    </w:p>
    <w:p>
      <w:pPr>
        <w:pStyle w:val="ListBullet"/>
        <w:spacing w:before="0" w:after="80" w:line="276" w:lineRule="auto"/>
      </w:pPr>
      <w:r>
        <w:rPr>
          <w:rFonts w:ascii="Times New Roman" w:hAnsi="Times New Roman"/>
          <w:b/>
          <w:i w:val="0"/>
          <w:color w:val="000000"/>
          <w:sz w:val="24"/>
        </w:rPr>
        <w:t xml:space="preserve">6. Automated Tamper Detection Engine: </w:t>
      </w:r>
      <w:r>
        <w:rPr>
          <w:rFonts w:ascii="Times New Roman" w:hAnsi="Times New Roman"/>
          <w:b w:val="0"/>
          <w:i w:val="0"/>
          <w:color w:val="000000"/>
          <w:sz w:val="24"/>
        </w:rPr>
        <w:t>Build an interactive tamper injection and audit verification suite that proves any single-bit alteration to off-chain records is instantly rejected by the smart contract fingerprint matching engine [8].</w:t>
      </w:r>
    </w:p>
    <w:p>
      <w:pPr>
        <w:pStyle w:val="ListBullet"/>
        <w:spacing w:before="0" w:after="80" w:line="276" w:lineRule="auto"/>
      </w:pPr>
      <w:r>
        <w:rPr>
          <w:rFonts w:ascii="Times New Roman" w:hAnsi="Times New Roman"/>
          <w:b/>
          <w:i w:val="0"/>
          <w:color w:val="000000"/>
          <w:sz w:val="24"/>
        </w:rPr>
        <w:t xml:space="preserve">7. Physical Smart Card Artifact &amp; Interactive Architecture Engine: </w:t>
      </w:r>
      <w:r>
        <w:rPr>
          <w:rFonts w:ascii="Times New Roman" w:hAnsi="Times New Roman"/>
          <w:b w:val="0"/>
          <w:i w:val="0"/>
          <w:color w:val="000000"/>
          <w:sz w:val="24"/>
        </w:rPr>
        <w:t>Design a physical dual-sided titanium-infused smart keycard conforming to ISO/IEC 7810 ID-1 standards with contactless NTAG216 NFC capabilities, alongside an interactive 3D SVG isometric projection engine for real-time ledger telemetry visualization [12].</w:t>
      </w:r>
    </w:p>
    <w:p>
      <w:pPr>
        <w:keepNext/>
        <w:spacing w:before="280" w:after="120"/>
        <w:jc w:val="left"/>
      </w:pPr>
      <w:r>
        <w:rPr>
          <w:rFonts w:ascii="Times New Roman" w:hAnsi="Times New Roman"/>
          <w:b/>
          <w:i w:val="0"/>
          <w:color w:val="000000"/>
          <w:sz w:val="26"/>
        </w:rPr>
        <w:t>1.4 PROJECT SCOPE &amp; PRACTICAL BOUNDARIES</w:t>
      </w:r>
    </w:p>
    <w:p>
      <w:pPr>
        <w:spacing w:before="0" w:after="120" w:line="276" w:lineRule="auto"/>
        <w:jc w:val="both"/>
      </w:pPr>
      <w:r>
        <w:rPr>
          <w:rFonts w:ascii="Times New Roman" w:hAnsi="Times New Roman"/>
          <w:b w:val="0"/>
          <w:i w:val="0"/>
          <w:color w:val="000000"/>
          <w:sz w:val="24"/>
        </w:rPr>
        <w:t>Project Scope: The implemented system encompasses a fully functional, multi-tier software suite consisting of: (1) Solidity smart contracts managing consortium hospital onboarding, doctor credentialing, and batch historical record migration; (2) An off-chain decentralized hospital appliance engine containerized via Docker, serving encrypted records behind hospital firewalls; (3) A TypeScript cryptographic core library executing HMAC-SHA256 key derivation, AES-256-GCM encryption/decryption, and compact QR compression; (4) A responsive clinical EMR workstation for verified attending physicians; (5) A dedicated emergency paramedic terminal optimized for mobile Google Lens optical parsing; (6) An official Government commissioning appliance for hardware UUID binding and doctor biometric fingerprint enrolment; (7) An aerospace-grade dual-sided physical keycard prototype with contactless NFC telemetry; and (8) An end-to-end patient card appointment booking and on-chain provisioning portal (/book).</w:t>
      </w:r>
    </w:p>
    <w:p>
      <w:pPr>
        <w:spacing w:before="0" w:after="120" w:line="276" w:lineRule="auto"/>
        <w:jc w:val="both"/>
      </w:pPr>
      <w:r>
        <w:rPr>
          <w:rFonts w:ascii="Times New Roman" w:hAnsi="Times New Roman"/>
          <w:b w:val="0"/>
          <w:i w:val="0"/>
          <w:color w:val="000000"/>
          <w:sz w:val="24"/>
        </w:rPr>
        <w:t>Practical Boundaries: While production-grade in its cryptographic and architectural implementation, the current deployment operates under specified academic boundaries: (1) Blockchain consensus is validated against a local EVM node simulating QBFT zero-gas execution rather than a public multi-validator mainnet; (2) The optical biometric sensor simulator models 500 DPI ridge extraction and minutiae matching via Web Audio and HTML Canvas simulation rather than requiring proprietary USB driver hardware; and (3) Off-chain storage endpoints are addressed via direct HTTP REST endpoints rather than peer-to-peer distributed hash tables (such as IPFS/libp2p), reflecting standard intra-hospital firewall constraints.</w:t>
      </w:r>
    </w:p>
    <w:p>
      <w:pPr>
        <w:keepNext/>
        <w:spacing w:before="280" w:after="120"/>
        <w:jc w:val="left"/>
      </w:pPr>
      <w:r>
        <w:rPr>
          <w:rFonts w:ascii="Times New Roman" w:hAnsi="Times New Roman"/>
          <w:b/>
          <w:i w:val="0"/>
          <w:color w:val="000000"/>
          <w:sz w:val="26"/>
        </w:rPr>
        <w:t>1.5 METHODOLOGIES OF PROBLEM SOLVING</w:t>
      </w:r>
    </w:p>
    <w:p>
      <w:pPr>
        <w:spacing w:before="0" w:after="120" w:line="276" w:lineRule="auto"/>
        <w:jc w:val="both"/>
      </w:pPr>
      <w:r>
        <w:rPr>
          <w:rFonts w:ascii="Times New Roman" w:hAnsi="Times New Roman"/>
          <w:b w:val="0"/>
          <w:i w:val="0"/>
          <w:color w:val="000000"/>
          <w:sz w:val="24"/>
        </w:rPr>
        <w:t>To ensure theoretical soundness and operational stability, the development of MediQR adhered to an incremental, test-driven engineering methodology. The riskiest, foundational components were developed and mathematically verified in isolation before building user-facing application layers. The development lifecycle progressed across six distinct phases [8], [9]:</w:t>
      </w:r>
    </w:p>
    <w:p>
      <w:pPr>
        <w:pStyle w:val="ListBullet"/>
        <w:spacing w:before="0" w:after="80" w:line="276" w:lineRule="auto"/>
      </w:pPr>
      <w:r>
        <w:rPr>
          <w:rFonts w:ascii="Times New Roman" w:hAnsi="Times New Roman"/>
          <w:b/>
          <w:i w:val="0"/>
          <w:color w:val="000000"/>
          <w:sz w:val="24"/>
        </w:rPr>
        <w:t xml:space="preserve">Phase 1: Cryptographic Primitives &amp; Test Vectors: </w:t>
      </w:r>
      <w:r>
        <w:rPr>
          <w:rFonts w:ascii="Times New Roman" w:hAnsi="Times New Roman"/>
          <w:b w:val="0"/>
          <w:i w:val="0"/>
          <w:color w:val="000000"/>
          <w:sz w:val="24"/>
        </w:rPr>
        <w:t>Constructed the core cryptographic engine in TypeScript. Validated HMAC-SHA256 token generation and AES-256-GCM authenticated decryption against known NIST test vectors and random ciphertext bit-flip attacks [11].</w:t>
      </w:r>
    </w:p>
    <w:p>
      <w:pPr>
        <w:pStyle w:val="ListBullet"/>
        <w:spacing w:before="0" w:after="80" w:line="276" w:lineRule="auto"/>
      </w:pPr>
      <w:r>
        <w:rPr>
          <w:rFonts w:ascii="Times New Roman" w:hAnsi="Times New Roman"/>
          <w:b/>
          <w:i w:val="0"/>
          <w:color w:val="000000"/>
          <w:sz w:val="24"/>
        </w:rPr>
        <w:t xml:space="preserve">Phase 2: Smart Contract &amp; Consortium Governance: </w:t>
      </w:r>
      <w:r>
        <w:rPr>
          <w:rFonts w:ascii="Times New Roman" w:hAnsi="Times New Roman"/>
          <w:b w:val="0"/>
          <w:i w:val="0"/>
          <w:color w:val="000000"/>
          <w:sz w:val="24"/>
        </w:rPr>
        <w:t>Implemented MedicalRecordLedger.sol. Configured hierarchical role mappings and access modifiers (onlyActiveDoctor, onlyHospitalAdmin, onlyOwner). Validated governance boundaries and cascading doctor revocations using Hardhat unit tests [1], [2].</w:t>
      </w:r>
    </w:p>
    <w:p>
      <w:pPr>
        <w:pStyle w:val="ListBullet"/>
        <w:spacing w:before="0" w:after="80" w:line="276" w:lineRule="auto"/>
      </w:pPr>
      <w:r>
        <w:rPr>
          <w:rFonts w:ascii="Times New Roman" w:hAnsi="Times New Roman"/>
          <w:b/>
          <w:i w:val="0"/>
          <w:color w:val="000000"/>
          <w:sz w:val="24"/>
        </w:rPr>
        <w:t xml:space="preserve">Phase 3: Off-Chain Appliance &amp; Dockerization: </w:t>
      </w:r>
      <w:r>
        <w:rPr>
          <w:rFonts w:ascii="Times New Roman" w:hAnsi="Times New Roman"/>
          <w:b w:val="0"/>
          <w:i w:val="0"/>
          <w:color w:val="000000"/>
          <w:sz w:val="24"/>
        </w:rPr>
        <w:t>Architected the standalone hospital storage engine running on Express and Node.js. Established isolated volume storage, health check endpoints, and tamper simulation REST interfaces [5], [10].</w:t>
      </w:r>
    </w:p>
    <w:p>
      <w:pPr>
        <w:pStyle w:val="ListBullet"/>
        <w:spacing w:before="0" w:after="80" w:line="276" w:lineRule="auto"/>
      </w:pPr>
      <w:r>
        <w:rPr>
          <w:rFonts w:ascii="Times New Roman" w:hAnsi="Times New Roman"/>
          <w:b/>
          <w:i w:val="0"/>
          <w:color w:val="000000"/>
          <w:sz w:val="24"/>
        </w:rPr>
        <w:t xml:space="preserve">Phase 4: Optical Compression &amp; Lens Safety: </w:t>
      </w:r>
      <w:r>
        <w:rPr>
          <w:rFonts w:ascii="Times New Roman" w:hAnsi="Times New Roman"/>
          <w:b w:val="0"/>
          <w:i w:val="0"/>
          <w:color w:val="000000"/>
          <w:sz w:val="24"/>
        </w:rPr>
        <w:t>Designed the compact URL schema (?b=...&amp;n=...&amp;a=...) yielding Version 4 (33x33 matrix) chunky QR codes, resolving the optical moiré camera freezing issues associated with bulky JSON encoding [12].</w:t>
      </w:r>
    </w:p>
    <w:p>
      <w:pPr>
        <w:pStyle w:val="ListBullet"/>
        <w:spacing w:before="0" w:after="80" w:line="276" w:lineRule="auto"/>
      </w:pPr>
      <w:r>
        <w:rPr>
          <w:rFonts w:ascii="Times New Roman" w:hAnsi="Times New Roman"/>
          <w:b/>
          <w:i w:val="0"/>
          <w:color w:val="000000"/>
          <w:sz w:val="24"/>
        </w:rPr>
        <w:t xml:space="preserve">Phase 5: Workstation Decoupling &amp; Biometric Security: </w:t>
      </w:r>
      <w:r>
        <w:rPr>
          <w:rFonts w:ascii="Times New Roman" w:hAnsi="Times New Roman"/>
          <w:b w:val="0"/>
          <w:i w:val="0"/>
          <w:color w:val="000000"/>
          <w:sz w:val="24"/>
        </w:rPr>
        <w:t>Separated the clinical doctor interface from the government installer. Bound session tokens to biometric fingerprint templates and reactive state synchronization events [7].</w:t>
      </w:r>
    </w:p>
    <w:p>
      <w:pPr>
        <w:pStyle w:val="ListBullet"/>
        <w:spacing w:before="0" w:after="80" w:line="276" w:lineRule="auto"/>
      </w:pPr>
      <w:r>
        <w:rPr>
          <w:rFonts w:ascii="Times New Roman" w:hAnsi="Times New Roman"/>
          <w:b/>
          <w:i w:val="0"/>
          <w:color w:val="000000"/>
          <w:sz w:val="24"/>
        </w:rPr>
        <w:t xml:space="preserve">Phase 6: End-to-End System Integration: </w:t>
      </w:r>
      <w:r>
        <w:rPr>
          <w:rFonts w:ascii="Times New Roman" w:hAnsi="Times New Roman"/>
          <w:b w:val="0"/>
          <w:i w:val="0"/>
          <w:color w:val="000000"/>
          <w:sz w:val="24"/>
        </w:rPr>
        <w:t>Exercised the integrated pipeline against comprehensive penetration scenarios, bulk legacy data ingestion batches, physical smart card provisioning workflows, and simulated roadside accident triage scenarios.</w:t>
      </w:r>
    </w:p>
    <w:p>
      <w:r>
        <w:br w:type="page"/>
      </w:r>
    </w:p>
    <w:p>
      <w:pPr>
        <w:keepNext/>
        <w:spacing w:before="360" w:after="360"/>
        <w:jc w:val="center"/>
      </w:pPr>
      <w:r>
        <w:rPr>
          <w:rFonts w:ascii="Times New Roman" w:hAnsi="Times New Roman"/>
          <w:b/>
          <w:i w:val="0"/>
          <w:color w:val="000000"/>
          <w:sz w:val="32"/>
        </w:rPr>
        <w:t>CHAPTER 2</w:t>
        <w:br/>
        <w:t>LITERATURE SURVEY</w:t>
      </w:r>
    </w:p>
    <w:p>
      <w:pPr>
        <w:spacing w:before="0" w:after="120" w:line="276" w:lineRule="auto"/>
        <w:jc w:val="both"/>
      </w:pPr>
      <w:r>
        <w:rPr>
          <w:rFonts w:ascii="Times New Roman" w:hAnsi="Times New Roman"/>
          <w:b w:val="0"/>
          <w:i w:val="0"/>
          <w:color w:val="000000"/>
          <w:sz w:val="24"/>
        </w:rPr>
        <w:t>Modern healthcare informatics has witnessed numerous attempts to balance record accessibility with patient confidentiality. However, prior methodologies typically sacrifice one dimension of the healthcare security trilemma (universal availability, complete confidentiality, or tamper-evident integrity). Rather than discussing high-level conceptual themes, this chapter conducts a rigorous critical survey of seminal peer-reviewed research papers, evaluating their cryptographic methodologies, empirical findings, structural limitations, and how MediQR resolves their architectural bottlenecks.</w:t>
      </w:r>
    </w:p>
    <w:p>
      <w:pPr>
        <w:keepNext/>
        <w:spacing w:before="280" w:after="120"/>
        <w:jc w:val="left"/>
      </w:pPr>
      <w:r>
        <w:rPr>
          <w:rFonts w:ascii="Times New Roman" w:hAnsi="Times New Roman"/>
          <w:b/>
          <w:i w:val="0"/>
          <w:color w:val="000000"/>
          <w:sz w:val="26"/>
        </w:rPr>
        <w:t>2.1 SURVEY OF SEMINAL BLOCKCHAIN HEALTHCARE ARCHITECTURES</w:t>
      </w:r>
    </w:p>
    <w:p>
      <w:pPr>
        <w:spacing w:before="0" w:after="120" w:line="276" w:lineRule="auto"/>
        <w:jc w:val="both"/>
      </w:pPr>
      <w:r>
        <w:rPr>
          <w:rFonts w:ascii="Times New Roman" w:hAnsi="Times New Roman"/>
          <w:b w:val="0"/>
          <w:i w:val="0"/>
          <w:color w:val="000000"/>
          <w:sz w:val="24"/>
        </w:rPr>
        <w:t>The application of distributed ledger technology to electronic health records was pioneered by Ekblaw, Azaria, Halamka, and Lippman (2016) at MIT in their landmark prototype 'MedRec' [1]. MedRec utilized Ethereum smart contracts to manage permissions, audit logs, and data pointers to off-chain hospital databases. In their evaluation, Ekblaw et al. demonstrated that medical record indexing could be decentralized without moving large medical files onto the blockchain. However, MedRec suffered from three severe limitations: first, operating on public proof-of-work Ethereum incurred prohibitive, volatile gas costs; second, storing plaintext Ethereum addresses allowed passive network adversaries to correlate transaction frequencies with disease progression; and third, MedRec completely ignored emergency roadside triage, offering zero offline access for first responders.</w:t>
      </w:r>
    </w:p>
    <w:p>
      <w:pPr>
        <w:spacing w:before="0" w:after="120" w:line="276" w:lineRule="auto"/>
        <w:jc w:val="both"/>
      </w:pPr>
      <w:r>
        <w:rPr>
          <w:rFonts w:ascii="Times New Roman" w:hAnsi="Times New Roman"/>
          <w:b w:val="0"/>
          <w:i w:val="0"/>
          <w:color w:val="000000"/>
          <w:sz w:val="24"/>
        </w:rPr>
        <w:t>To address public chain scalability, Kuo, Hsu, and Ohno-Machado (2018) proposed 'MedBlock' in the Journal of the American Medical Informatics Association (JAMIA) [2]. MedBlock introduced a customized consortium blockchain architecture utilizing an energy-efficient consensus mechanism specifically tailored for medical data exchange across hospital networks. While Kuo et al. successfully achieved high transaction throughput and reduced consensus latency, their framework stored access control lists directly within consortium ledger nodes. Consequently, physician authentication remained tethered to desktop terminal passwords, lacking physical biometric hardware binding. Furthermore, MedBlock lacked an optical emergency interface, requiring attending paramedics to undergo complete federation handshakes.</w:t>
      </w:r>
    </w:p>
    <w:p>
      <w:pPr>
        <w:spacing w:before="0" w:after="120" w:line="276" w:lineRule="auto"/>
        <w:jc w:val="both"/>
      </w:pPr>
      <w:r>
        <w:rPr>
          <w:rFonts w:ascii="Times New Roman" w:hAnsi="Times New Roman"/>
          <w:b w:val="0"/>
          <w:i w:val="0"/>
          <w:color w:val="000000"/>
          <w:sz w:val="24"/>
        </w:rPr>
        <w:t>Dubovitskaya, Xu, Ryu, Schumacher, and Wang (2017) explored specialized clinical domains in 'Secure and Trustable Distributed System for Oncology Data Management Using Blockchain' published in JMIR Medical Informatics [3]. Their system integrated permissioned blockchains with cloud storage to facilitate cancer patient data sharing across radiotherapy research clinics. Dubovitskaya et al. employed symmetric key encryption to protect oncology files before uploading to cloud repositories. However, their architecture utilized unsalted patient identification numbers to index records on-chain, rendering the system vulnerable to demographic linkage attacks. Furthermore, retrieval of multi-part DICOM radiology files across cloud relays exhibited substantial latency, making it unsuitable for rapid emergency workflows.</w:t>
      </w:r>
    </w:p>
    <w:p>
      <w:pPr>
        <w:spacing w:before="0" w:after="120" w:line="276" w:lineRule="auto"/>
        <w:jc w:val="both"/>
      </w:pPr>
      <w:r>
        <w:rPr>
          <w:rFonts w:ascii="Times New Roman" w:hAnsi="Times New Roman"/>
          <w:b w:val="0"/>
          <w:i w:val="0"/>
          <w:color w:val="000000"/>
          <w:sz w:val="24"/>
        </w:rPr>
        <w:t>Yue, Wang, Jin, Li, and Jiang (2016) proposed 'Healthcare Data Gateways' (HDG) in the Journal of Medical Systems [4]. HDG introduced a patient-centric architecture wherein patients control access to their health records via a dedicated smartphone gateway application communicating with a private blockchain. While Yue et al. effectively empowered conscious patients to manage explicit consent policies, the entire architecture collapsed during roadside emergencies: an unconscious or incapacitated trauma victim cannot operate a smartphone screen or authenticate biometric prompts to grant paramedic access.</w:t>
      </w:r>
    </w:p>
    <w:p>
      <w:pPr>
        <w:keepNext/>
        <w:spacing w:before="280" w:after="120"/>
        <w:jc w:val="left"/>
      </w:pPr>
      <w:r>
        <w:rPr>
          <w:rFonts w:ascii="Times New Roman" w:hAnsi="Times New Roman"/>
          <w:b/>
          <w:i w:val="0"/>
          <w:color w:val="000000"/>
          <w:sz w:val="26"/>
        </w:rPr>
        <w:t>2.2 PRIVACY-PRESERVING ACCESS CONTROL AND INTEROPERABILITY</w:t>
      </w:r>
    </w:p>
    <w:p>
      <w:pPr>
        <w:spacing w:before="0" w:after="120" w:line="276" w:lineRule="auto"/>
        <w:jc w:val="both"/>
      </w:pPr>
      <w:r>
        <w:rPr>
          <w:rFonts w:ascii="Times New Roman" w:hAnsi="Times New Roman"/>
          <w:b w:val="0"/>
          <w:i w:val="0"/>
          <w:color w:val="000000"/>
          <w:sz w:val="24"/>
        </w:rPr>
        <w:t>Esposito, De Santis, Tortora, Chang, and Choo (2018) conducted a comprehensive security evaluation entitled 'Blockchain: A Panacea for Healthcare Cloud-Based Data Security and Privacy?' in IEEE Cloud Computing [5]. Esposito et al. proved that while cloud providers offer scalable storage, relying on cloud-native access control creates a fatal single point of failure: privileged cloud administrators can alter or delete audit trails. They demonstrated that hybrid architectures anchoring cryptographic hashes to immutable distributed ledgers provide non-repudiation. However, they cautioned that encrypting data under static symmetric keys without automated key derivation creates severe forward-secrecy vulnerabilities.</w:t>
      </w:r>
    </w:p>
    <w:p>
      <w:pPr>
        <w:spacing w:before="0" w:after="120" w:line="276" w:lineRule="auto"/>
        <w:jc w:val="both"/>
      </w:pPr>
      <w:r>
        <w:rPr>
          <w:rFonts w:ascii="Times New Roman" w:hAnsi="Times New Roman"/>
          <w:b w:val="0"/>
          <w:i w:val="0"/>
          <w:color w:val="000000"/>
          <w:sz w:val="24"/>
        </w:rPr>
        <w:t>Addressing health data standards, Zhang, White, Schmidt, Lenz, and Rosenbloom (2018) developed 'FHIRChain' presented at the AMIA Annual Symposium [6]. FHIRChain implemented Ethereum smart contracts to encapsulate clinical metadata formatted in accordance with the Health Level Seven Fast Healthcare Interoperability Resources (HL7 FHIR) standard [14]. Zhang et al. demonstrated that smart contracts could orchestrate complex multi-clinic FHIR resource exchanges. Nevertheless, FHIRChain exhibited significant cryptographic vulnerabilities: clinical data was transferred over HTTPS without mandatory client-side in-memory encryption, leaving records vulnerable to memory-scraping attacks on intermediary hospital proxy servers.</w:t>
      </w:r>
    </w:p>
    <w:p>
      <w:pPr>
        <w:spacing w:before="0" w:after="120" w:line="276" w:lineRule="auto"/>
        <w:jc w:val="both"/>
      </w:pPr>
      <w:r>
        <w:rPr>
          <w:rFonts w:ascii="Times New Roman" w:hAnsi="Times New Roman"/>
          <w:b w:val="0"/>
          <w:i w:val="0"/>
          <w:color w:val="000000"/>
          <w:sz w:val="24"/>
        </w:rPr>
        <w:t>Dagher, Mohler, Milojkovic, and Marella (2018) formulated 'Ancile' in Sustainable Cities and Society [7]. Ancile designed a privacy-preserving framework utilizing Ethereum smart contracts and advanced proxy re-encryption (PRE). Under Ancile, patients delegate decryption rights to attending physicians without disclosing private keys. While mathematically elegant, Dagher et al.'s proxy re-encryption introduced severe computational overhead, requiring several seconds of cryptographic transformation per document. This processing latency is fatal in trauma resuscitation scenarios and incompatible with mobile first-responder hardware.</w:t>
      </w:r>
    </w:p>
    <w:p>
      <w:pPr>
        <w:spacing w:before="0" w:after="120" w:line="276" w:lineRule="auto"/>
        <w:jc w:val="both"/>
      </w:pPr>
      <w:r>
        <w:rPr>
          <w:rFonts w:ascii="Times New Roman" w:hAnsi="Times New Roman"/>
          <w:b w:val="0"/>
          <w:i w:val="0"/>
          <w:color w:val="000000"/>
          <w:sz w:val="24"/>
        </w:rPr>
        <w:t>Vazirani, O’Donoghue, Brindley, and Meinert (2019) analyzed record falsification in 'Implementing Blockchains for Patient Data Integrity in Clinical Trials and Healthcare' in BMJ Health &amp; Care Informatics [8]. Vazirani et al. documented that healthcare databases suffer widespread retrospective manipulation by unauthorized personnel seeking to conceal medical malpractice or falsify drug trial efficacy. They proved that anchoring immutable SHA-256 state hashes onto a decentralized ledger guarantees mathematical non-repudiation. However, their paper focused on auditing theoretical data pipelines, providing no concrete dual-interface implementation for emergency triage.</w:t>
      </w:r>
    </w:p>
    <w:p>
      <w:pPr>
        <w:spacing w:before="0" w:after="120" w:line="276" w:lineRule="auto"/>
        <w:jc w:val="both"/>
      </w:pPr>
      <w:r>
        <w:rPr>
          <w:rFonts w:ascii="Times New Roman" w:hAnsi="Times New Roman"/>
          <w:b w:val="0"/>
          <w:i w:val="0"/>
          <w:color w:val="000000"/>
          <w:sz w:val="24"/>
        </w:rPr>
        <w:t>Shahnaz, Qamar, and Khalid (2019) proposed a comprehensive electronic health record framework in IEEE Access [9]. Their framework utilized smart contracts to restrict unauthorized file access while offloading encrypted files to decentralized storage. Similarly, Abbas, Bilal, Zhang, and Khan (2020) proposed a cloud-based patient-centric architecture in the IEEE Systems Journal [10]. Both frameworks established that offloading large medical payloads off-chain while maintaining on-chain cryptographic indexes is the only viable paradigm for blockchain healthcare. However, both studies left open the critical challenge of physical doctor identity verification at the clinical workstation and roadside emergency access.</w:t>
      </w:r>
    </w:p>
    <w:p>
      <w:pPr>
        <w:keepNext/>
        <w:spacing w:before="280" w:after="120"/>
        <w:jc w:val="left"/>
      </w:pPr>
      <w:r>
        <w:rPr>
          <w:rFonts w:ascii="Times New Roman" w:hAnsi="Times New Roman"/>
          <w:b/>
          <w:i w:val="0"/>
          <w:color w:val="000000"/>
          <w:sz w:val="26"/>
        </w:rPr>
        <w:t>2.3 REGULATORY, CRYPTOGRAPHIC, AND OPTICAL STANDARDS</w:t>
      </w:r>
    </w:p>
    <w:p>
      <w:pPr>
        <w:spacing w:before="0" w:after="120" w:line="276" w:lineRule="auto"/>
        <w:jc w:val="both"/>
      </w:pPr>
      <w:r>
        <w:rPr>
          <w:rFonts w:ascii="Times New Roman" w:hAnsi="Times New Roman"/>
          <w:b w:val="0"/>
          <w:i w:val="0"/>
          <w:color w:val="000000"/>
          <w:sz w:val="24"/>
        </w:rPr>
        <w:t>In addition to peer-reviewed academic literature, the engineering formulation of MediQR is directly governed by established international cryptographic, optical, and statutory standards:</w:t>
      </w:r>
    </w:p>
    <w:p>
      <w:pPr>
        <w:pStyle w:val="ListBullet"/>
        <w:spacing w:before="0" w:after="80" w:line="276" w:lineRule="auto"/>
      </w:pPr>
      <w:r>
        <w:rPr>
          <w:rFonts w:ascii="Times New Roman" w:hAnsi="Times New Roman"/>
          <w:b/>
          <w:i w:val="0"/>
          <w:color w:val="000000"/>
          <w:sz w:val="24"/>
        </w:rPr>
        <w:t xml:space="preserve">NIST SP 800-38D (AES-256-GCM Authenticated Encryption) [11]: </w:t>
      </w:r>
      <w:r>
        <w:rPr>
          <w:rFonts w:ascii="Times New Roman" w:hAnsi="Times New Roman"/>
          <w:b w:val="0"/>
          <w:i w:val="0"/>
          <w:color w:val="000000"/>
          <w:sz w:val="24"/>
        </w:rPr>
        <w:t>Standardized by the National Institute of Standards and Technology, Galois/Counter Mode provides high-throughput symmetric encryption with built-in message authentication. Its 128-bit authentication tag guarantees confidentiality and ciphertext integrity simultaneously, eliminating the need for separate HMAC verification over ciphertext.</w:t>
      </w:r>
    </w:p>
    <w:p>
      <w:pPr>
        <w:pStyle w:val="ListBullet"/>
        <w:spacing w:before="0" w:after="80" w:line="276" w:lineRule="auto"/>
      </w:pPr>
      <w:r>
        <w:rPr>
          <w:rFonts w:ascii="Times New Roman" w:hAnsi="Times New Roman"/>
          <w:b/>
          <w:i w:val="0"/>
          <w:color w:val="000000"/>
          <w:sz w:val="24"/>
        </w:rPr>
        <w:t xml:space="preserve">ISO/IEC 18004:2015 (QR Code Symbology &amp; Reed-Solomon ECC) [12]: </w:t>
      </w:r>
      <w:r>
        <w:rPr>
          <w:rFonts w:ascii="Times New Roman" w:hAnsi="Times New Roman"/>
          <w:b w:val="0"/>
          <w:i w:val="0"/>
          <w:color w:val="000000"/>
          <w:sz w:val="24"/>
        </w:rPr>
        <w:t>Governs 2D matrix symbology. The standard establishes that as payload volume grows beyond 100 characters, QR matrix density increases dramatically from Version 4 (33x33) to Version 10 (57x57) or higher, introducing high spatial frequency patterns that trigger severe optical moiré distortion and focus hunting when captured by mobile CMOS camera sensors under outdoor lighting.</w:t>
      </w:r>
    </w:p>
    <w:p>
      <w:pPr>
        <w:pStyle w:val="ListBullet"/>
        <w:spacing w:before="0" w:after="80" w:line="276" w:lineRule="auto"/>
      </w:pPr>
      <w:r>
        <w:rPr>
          <w:rFonts w:ascii="Times New Roman" w:hAnsi="Times New Roman"/>
          <w:b/>
          <w:i w:val="0"/>
          <w:color w:val="000000"/>
          <w:sz w:val="24"/>
        </w:rPr>
        <w:t xml:space="preserve">W3C Decentralized Identifiers (DIDs v1.0) &amp; Verifiable Credentials [13]: </w:t>
      </w:r>
      <w:r>
        <w:rPr>
          <w:rFonts w:ascii="Times New Roman" w:hAnsi="Times New Roman"/>
          <w:b w:val="0"/>
          <w:i w:val="0"/>
          <w:color w:val="000000"/>
          <w:sz w:val="24"/>
        </w:rPr>
        <w:t>Defines cryptographically verifiable, decentralized identities independent of centralized identity providers. MediQR aligns with W3C DID principles by deriving deterministic patient query tokens via salted HMAC-SHA256, decoupling on-chain lookup from national identity registries.</w:t>
      </w:r>
    </w:p>
    <w:p>
      <w:pPr>
        <w:pStyle w:val="ListBullet"/>
        <w:spacing w:before="0" w:after="80" w:line="276" w:lineRule="auto"/>
      </w:pPr>
      <w:r>
        <w:rPr>
          <w:rFonts w:ascii="Times New Roman" w:hAnsi="Times New Roman"/>
          <w:b/>
          <w:i w:val="0"/>
          <w:color w:val="000000"/>
          <w:sz w:val="24"/>
        </w:rPr>
        <w:t xml:space="preserve">HL7 Fast Healthcare Interoperability Resources (FHIR Release 4) [14]: </w:t>
      </w:r>
      <w:r>
        <w:rPr>
          <w:rFonts w:ascii="Times New Roman" w:hAnsi="Times New Roman"/>
          <w:b w:val="0"/>
          <w:i w:val="0"/>
          <w:color w:val="000000"/>
          <w:sz w:val="24"/>
        </w:rPr>
        <w:t>Defines clinical data interchange resource formats (Patient, Condition, AllergyIntolerance, MedicationRequest). MediQR's payload structures adhere to standardized FHIR terminology codes (e.g., SNOMED-CT and RxNorm).</w:t>
      </w:r>
    </w:p>
    <w:p>
      <w:pPr>
        <w:pStyle w:val="ListBullet"/>
        <w:spacing w:before="0" w:after="80" w:line="276" w:lineRule="auto"/>
      </w:pPr>
      <w:r>
        <w:rPr>
          <w:rFonts w:ascii="Times New Roman" w:hAnsi="Times New Roman"/>
          <w:b/>
          <w:i w:val="0"/>
          <w:color w:val="000000"/>
          <w:sz w:val="24"/>
        </w:rPr>
        <w:t xml:space="preserve">India DPDP Act 2023 &amp; ABDM Framework [15]: </w:t>
      </w:r>
      <w:r>
        <w:rPr>
          <w:rFonts w:ascii="Times New Roman" w:hAnsi="Times New Roman"/>
          <w:b w:val="0"/>
          <w:i w:val="0"/>
          <w:color w:val="000000"/>
          <w:sz w:val="24"/>
        </w:rPr>
        <w:t>The Digital Personal Data Protection Act of 2023 mandates strict data localization and purpose limitation for digital health data in India. Section 8 mandates that health data fiduciaries implement verifiable technical safeguards to prevent unauthorized data tampering and data leakage, a statutory requirement directly enforced by MediQR's on-chain cryptographic digital wax seal.</w:t>
      </w:r>
    </w:p>
    <w:p>
      <w:pPr>
        <w:keepNext/>
        <w:spacing w:before="280" w:after="120"/>
        <w:jc w:val="left"/>
      </w:pPr>
      <w:r>
        <w:rPr>
          <w:rFonts w:ascii="Times New Roman" w:hAnsi="Times New Roman"/>
          <w:b/>
          <w:i w:val="0"/>
          <w:color w:val="000000"/>
          <w:sz w:val="26"/>
        </w:rPr>
        <w:t>2.4 COMPARATIVE LITERATURE MATRIX OF PRIOR FRAMEWORKS</w:t>
      </w:r>
    </w:p>
    <w:p>
      <w:pPr>
        <w:spacing w:before="0" w:after="120" w:line="276" w:lineRule="auto"/>
        <w:jc w:val="center"/>
      </w:pPr>
      <w:r>
        <w:rPr>
          <w:rFonts w:ascii="Times New Roman" w:hAnsi="Times New Roman"/>
          <w:b/>
          <w:i w:val="0"/>
          <w:color w:val="000000"/>
          <w:sz w:val="22"/>
        </w:rPr>
        <w:t>Table 2.1: Comparative literature matrix of healthcare blockchain and emergency data sharing frameworks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25"/>
        <w:gridCol w:w="1125"/>
        <w:gridCol w:w="1125"/>
        <w:gridCol w:w="1125"/>
        <w:gridCol w:w="1125"/>
        <w:gridCol w:w="1125"/>
        <w:gridCol w:w="1125"/>
        <w:gridCol w:w="1125"/>
      </w:tblGrid>
      <w:tr>
        <w:trPr>
          <w:tblHeader/>
          <w:cantSplit/>
        </w:trPr>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Framework / Study</w:t>
            </w:r>
          </w:p>
        </w:tc>
        <w:tc>
          <w:tcPr>
            <w:tcW w:type="dxa" w:w="129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Storage Topology</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In-Memory Client Encryption</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Roadside Triage (&lt;2s)</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Tamper-Proof Ledger Pinning</w:t>
            </w:r>
          </w:p>
        </w:tc>
        <w:tc>
          <w:tcPr>
            <w:tcW w:type="dxa" w:w="100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Zero-Gas Cost Model</w:t>
            </w:r>
          </w:p>
        </w:tc>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Biometric Workstation Binding</w:t>
            </w:r>
          </w:p>
        </w:tc>
        <w:tc>
          <w:tcPr>
            <w:tcW w:type="dxa" w:w="129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Statutory Privacy (DPDP/HIPAA)</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Centralized EHR [14]</w:t>
              <w:br/>
              <w:t>(Epic / Cerner)</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Cloud SQL</w:t>
              <w:br/>
              <w:t>Database</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(Server-side</w:t>
              <w:br/>
              <w:t>TLS only)</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(Walled-garden</w:t>
              <w:br/>
              <w:t>auth required)</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(Admin root</w:t>
              <w:br/>
              <w:t>can alter records)</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 (SaaS</w:t>
              <w:br/>
              <w:t>Subscription)</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(Username</w:t>
              <w:br/>
              <w:t>&amp; Password)</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Partial (Siloed,</w:t>
              <w:br/>
              <w:t>leaks metadata)</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MedRec [1]</w:t>
              <w:br/>
              <w:t>(Ekblaw et al., 2016)</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Off-chain</w:t>
              <w:br/>
              <w:t>Hospital DB</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(Database-level</w:t>
              <w:br/>
              <w:t>storage)</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(Desktop</w:t>
              <w:br/>
              <w:t>portal only)</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(Ethereum</w:t>
              <w:br/>
              <w:t>pointers)</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(Volatile</w:t>
              <w:br/>
              <w:t>PoW gas fees)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(Ethereum</w:t>
              <w:br/>
              <w:t>private key)</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Weak (Address</w:t>
              <w:br/>
              <w:t>correlation)</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MedBlock [2]</w:t>
              <w:br/>
              <w:t>(Kuo et al., 2018)</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Consortium</w:t>
              <w:br/>
              <w:t>Nodes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(Consortium</w:t>
              <w:br/>
              <w:t>access control)</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(Hospital</w:t>
              <w:br/>
              <w:t>network only)</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(Consortium</w:t>
              <w:br/>
              <w:t>blocks)</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(Custom</w:t>
              <w:br/>
              <w:t>consensus)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(Password</w:t>
              <w:br/>
              <w:t>login)</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 (Internal</w:t>
              <w:br/>
              <w:t>consortium only)</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Ancile [7]</w:t>
              <w:br/>
              <w:t>(Dagher et al., 2018)</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Cloud &amp;</w:t>
              <w:br/>
              <w:t>Smart Contracts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Partial (Proxy</w:t>
              <w:br/>
              <w:t>Re-encryption)</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(Heavy PRE</w:t>
              <w:br/>
              <w:t>computation latency)</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(Ethereum</w:t>
              <w:br/>
              <w:t>state hash)</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(High public</w:t>
              <w:br/>
              <w:t>gas costs)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(Key-pair</w:t>
              <w:br/>
              <w:t>credential)</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 (Key</w:t>
              <w:br/>
              <w:t>management risk)</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FHIRChain [6]</w:t>
              <w:br/>
              <w:t>(Zhang et al., 2018)</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External</w:t>
              <w:br/>
              <w:t>FHIR Repos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(Plain HTTPS</w:t>
              <w:br/>
              <w:t>REST exchange)</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(Requires</w:t>
              <w:br/>
              <w:t>active login)</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(Ethereum</w:t>
              <w:br/>
              <w:t>tokens)</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(Public</w:t>
              <w:br/>
              <w:t>chain gas)</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(OAuth 2.0</w:t>
              <w:br/>
              <w:t>tokens)</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 (No</w:t>
              <w:br/>
              <w:t>client encryption)</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Dubovitskaya [3]</w:t>
              <w:br/>
              <w:t>(JMIR, 2017)</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Cloud &amp;</w:t>
              <w:br/>
              <w:t>Permissioned Chain</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(Symmetric</w:t>
              <w:br/>
              <w:t>key cipher)</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(High multi-part</w:t>
              <w:br/>
              <w:t>cloud latency)</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(Anchored</w:t>
              <w:br/>
              <w:t>state)</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(Private</w:t>
              <w:br/>
              <w:t>chain)</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 (Standard</w:t>
              <w:br/>
              <w:t>credentials)</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Weak (Unsalted</w:t>
              <w:br/>
              <w:t>patient IDs)</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MediQR [11]-[15]</w:t>
              <w:br/>
              <w:t>(Proposed System)</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Hybrid On-Premise</w:t>
              <w:br/>
              <w:t>Docker Appliance</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(Web Crypto</w:t>
              <w:br/>
              <w:t>AES-256-GCM)</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(Sub-1.5s</w:t>
              <w:br/>
              <w:t>Version 4 QR)</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(Immutable</w:t>
              <w:br/>
              <w:t>SHA-256 on EVM)</w:t>
            </w:r>
          </w:p>
        </w:tc>
        <w:tc>
          <w:tcPr>
            <w:tcW w:type="dxa" w:w="10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(Consortium</w:t>
              <w:br/>
              <w:t>Zero-Gas Subnet)</w:t>
            </w:r>
          </w:p>
        </w:tc>
        <w:tc>
          <w:tcPr>
            <w:tcW w:type="dxa" w:w="115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Yes (500 DPI</w:t>
              <w:br/>
              <w:t>Minutiae Gatekeeper)</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Full (Zero PHI on-chain,</w:t>
              <w:br/>
              <w:t>salted HMAC tokens)</w:t>
            </w:r>
          </w:p>
        </w:tc>
      </w:tr>
    </w:tbl>
    <w:p>
      <w:pPr>
        <w:spacing w:before="0" w:after="120"/>
      </w:pPr>
    </w:p>
    <w:p>
      <w:pPr>
        <w:keepNext/>
        <w:spacing w:before="280" w:after="120"/>
        <w:jc w:val="left"/>
      </w:pPr>
      <w:r>
        <w:rPr>
          <w:rFonts w:ascii="Times New Roman" w:hAnsi="Times New Roman"/>
          <w:b/>
          <w:i w:val="0"/>
          <w:color w:val="000000"/>
          <w:sz w:val="26"/>
        </w:rPr>
        <w:t>2.5 GAP IDENTIFICATION AND MEDIQR ARCHITECTURAL INNOVATIONS</w:t>
      </w:r>
    </w:p>
    <w:p>
      <w:pPr>
        <w:spacing w:before="0" w:after="120" w:line="276" w:lineRule="auto"/>
        <w:jc w:val="both"/>
      </w:pPr>
      <w:r>
        <w:rPr>
          <w:rFonts w:ascii="Times New Roman" w:hAnsi="Times New Roman"/>
          <w:b w:val="0"/>
          <w:i w:val="0"/>
          <w:color w:val="000000"/>
          <w:sz w:val="24"/>
        </w:rPr>
        <w:t>The comprehensive analysis of the existing literature reveals five critical architectural and cryptographic voids that have prevented the practical adoption of blockchain in clinical emergency medicine:</w:t>
      </w:r>
    </w:p>
    <w:p>
      <w:pPr>
        <w:pStyle w:val="ListBullet"/>
        <w:spacing w:before="0" w:after="80" w:line="276" w:lineRule="auto"/>
      </w:pPr>
      <w:r>
        <w:rPr>
          <w:rFonts w:ascii="Times New Roman" w:hAnsi="Times New Roman"/>
          <w:b/>
          <w:i w:val="0"/>
          <w:color w:val="000000"/>
          <w:sz w:val="24"/>
        </w:rPr>
        <w:t xml:space="preserve">Gap 1: Neglect of Roadside Emergency First Response: </w:t>
      </w:r>
      <w:r>
        <w:rPr>
          <w:rFonts w:ascii="Times New Roman" w:hAnsi="Times New Roman"/>
          <w:b w:val="0"/>
          <w:i w:val="0"/>
          <w:color w:val="000000"/>
          <w:sz w:val="24"/>
        </w:rPr>
        <w:t>All reviewed blockchain architectures (MedRec, MedBlock, Ancile, FHIRChain) exclusively target inter-hospital clinical federation and desktop browser portals. None provide an offline, sub-2-second optical triage mechanism for EMT paramedics operating at roadside disaster locations without cellular connectivity [1], [2], [6].</w:t>
      </w:r>
    </w:p>
    <w:p>
      <w:pPr>
        <w:pStyle w:val="ListBullet"/>
        <w:spacing w:before="0" w:after="80" w:line="276" w:lineRule="auto"/>
      </w:pPr>
      <w:r>
        <w:rPr>
          <w:rFonts w:ascii="Times New Roman" w:hAnsi="Times New Roman"/>
          <w:b/>
          <w:i w:val="0"/>
          <w:color w:val="000000"/>
          <w:sz w:val="24"/>
        </w:rPr>
        <w:t xml:space="preserve">Gap 2: Prohibitive Public Gas Economics: </w:t>
      </w:r>
      <w:r>
        <w:rPr>
          <w:rFonts w:ascii="Times New Roman" w:hAnsi="Times New Roman"/>
          <w:b w:val="0"/>
          <w:i w:val="0"/>
          <w:color w:val="000000"/>
          <w:sz w:val="24"/>
        </w:rPr>
        <w:t>Prior models deployed on public Ethereum require $5 to $50 in transaction fees to anchor record pointers and register access grants. This financial burden is completely unviable for public health agencies executing thousands of clinical encounters daily [1], [7].</w:t>
      </w:r>
    </w:p>
    <w:p>
      <w:pPr>
        <w:pStyle w:val="ListBullet"/>
        <w:spacing w:before="0" w:after="80" w:line="276" w:lineRule="auto"/>
      </w:pPr>
      <w:r>
        <w:rPr>
          <w:rFonts w:ascii="Times New Roman" w:hAnsi="Times New Roman"/>
          <w:b/>
          <w:i w:val="0"/>
          <w:color w:val="000000"/>
          <w:sz w:val="24"/>
        </w:rPr>
        <w:t xml:space="preserve">Gap 3: Public Ledger Metadata Leakage: </w:t>
      </w:r>
      <w:r>
        <w:rPr>
          <w:rFonts w:ascii="Times New Roman" w:hAnsi="Times New Roman"/>
          <w:b w:val="0"/>
          <w:i w:val="0"/>
          <w:color w:val="000000"/>
          <w:sz w:val="24"/>
        </w:rPr>
        <w:t>Publishing raw patient identity identifiers or predictable wallet addresses on a transparent blockchain allows adversaries to perform clustering analysis and correlate patient disease histories, directly violating GDPR Article 17 and India's DPDP Act 2023 [3], [15].</w:t>
      </w:r>
    </w:p>
    <w:p>
      <w:pPr>
        <w:pStyle w:val="ListBullet"/>
        <w:spacing w:before="0" w:after="80" w:line="276" w:lineRule="auto"/>
      </w:pPr>
      <w:r>
        <w:rPr>
          <w:rFonts w:ascii="Times New Roman" w:hAnsi="Times New Roman"/>
          <w:b/>
          <w:i w:val="0"/>
          <w:color w:val="000000"/>
          <w:sz w:val="24"/>
        </w:rPr>
        <w:t xml:space="preserve">Gap 4: Absence of Workstation Biometric Enforcement: </w:t>
      </w:r>
      <w:r>
        <w:rPr>
          <w:rFonts w:ascii="Times New Roman" w:hAnsi="Times New Roman"/>
          <w:b w:val="0"/>
          <w:i w:val="0"/>
          <w:color w:val="000000"/>
          <w:sz w:val="24"/>
        </w:rPr>
        <w:t>Existing decentralized EMR prototypes authenticate doctors via private key files stored on disk. If a physician leaves their workstation unattended, any insider can access decrypted records without authorization [2], [9].</w:t>
      </w:r>
    </w:p>
    <w:p>
      <w:pPr>
        <w:pStyle w:val="ListBullet"/>
        <w:spacing w:before="0" w:after="80" w:line="276" w:lineRule="auto"/>
      </w:pPr>
      <w:r>
        <w:rPr>
          <w:rFonts w:ascii="Times New Roman" w:hAnsi="Times New Roman"/>
          <w:b/>
          <w:i w:val="0"/>
          <w:color w:val="000000"/>
          <w:sz w:val="24"/>
        </w:rPr>
        <w:t xml:space="preserve">Gap 5: Optical Moiré Distortion in High-Density QR Codes: </w:t>
      </w:r>
      <w:r>
        <w:rPr>
          <w:rFonts w:ascii="Times New Roman" w:hAnsi="Times New Roman"/>
          <w:b w:val="0"/>
          <w:i w:val="0"/>
          <w:color w:val="000000"/>
          <w:sz w:val="24"/>
        </w:rPr>
        <w:t>Attempts to print comprehensive health summaries on physical QR cards fail because encoding multi-attribute JSON expands matrix density beyond Version 10, causing mobile camera focus sensors and Google Lens OCR to lock up and freeze [12].</w:t>
      </w:r>
    </w:p>
    <w:p>
      <w:pPr>
        <w:spacing w:before="0" w:after="120" w:line="276" w:lineRule="auto"/>
        <w:jc w:val="both"/>
      </w:pPr>
      <w:r>
        <w:rPr>
          <w:rFonts w:ascii="Times New Roman" w:hAnsi="Times New Roman"/>
          <w:b w:val="0"/>
          <w:i w:val="0"/>
          <w:color w:val="000000"/>
          <w:sz w:val="24"/>
        </w:rPr>
        <w:t>MediQR directly resolves every identified gap through fundamental innovations: (1) A dual-segment decoupled pipeline separating ultra-compact emergency QR vitals (&lt;95 chars) from deep encrypted archives; (2) In-memory authenticated AES-256-GCM encryption executed inside the browser before data touches the network; (3) Salted HMAC-SHA256 deterministic tokenization providing zero-knowledge patient lookups; (4) An optical biometric gatekeeper that unlocks decryption keys only in the presence of physical physician biometric minutiae; (5) An interactive 3D SVG isometric projection engine mapping real-time multi-node ledger interactions; and (6) A physical dual-sided titanium smart card with contactless NTAG216 NFC capabilities paired with an on-chain /book booking portal [7], [11], [12].</w:t>
      </w:r>
    </w:p>
    <w:p>
      <w:r>
        <w:br w:type="page"/>
      </w:r>
    </w:p>
    <w:p>
      <w:pPr>
        <w:keepNext/>
        <w:spacing w:before="360" w:after="360"/>
        <w:jc w:val="center"/>
      </w:pPr>
      <w:r>
        <w:rPr>
          <w:rFonts w:ascii="Times New Roman" w:hAnsi="Times New Roman"/>
          <w:b/>
          <w:i w:val="0"/>
          <w:color w:val="000000"/>
          <w:sz w:val="32"/>
        </w:rPr>
        <w:t>CHAPTER 3</w:t>
        <w:br/>
        <w:t>SOFTWARE REQUIREMENTS SPECIFICATION</w:t>
      </w:r>
    </w:p>
    <w:p>
      <w:pPr>
        <w:keepNext/>
        <w:spacing w:before="280" w:after="120"/>
        <w:jc w:val="left"/>
      </w:pPr>
      <w:r>
        <w:rPr>
          <w:rFonts w:ascii="Times New Roman" w:hAnsi="Times New Roman"/>
          <w:b/>
          <w:i w:val="0"/>
          <w:color w:val="000000"/>
          <w:sz w:val="26"/>
        </w:rPr>
        <w:t>3.1 ASSUMPTIONS AND DEPENDENCIES</w:t>
      </w:r>
    </w:p>
    <w:p>
      <w:pPr>
        <w:spacing w:before="0" w:after="120" w:line="276" w:lineRule="auto"/>
        <w:jc w:val="both"/>
      </w:pPr>
      <w:r>
        <w:rPr>
          <w:rFonts w:ascii="Times New Roman" w:hAnsi="Times New Roman"/>
          <w:b w:val="0"/>
          <w:i w:val="0"/>
          <w:color w:val="000000"/>
          <w:sz w:val="24"/>
        </w:rPr>
        <w:t>The operational integrity of MediQR relies on specific foundational assumptions and technical dependencies across the distributed deployment topology: (1) Blockchain Connectivity: The clinical workstation and hospital storage appliances maintain network access to an EVM-compatible JSON-RPC endpoint operating under zero-gas consortium consensus (e.g., Hardhat devnet, Hyperledger Besu, or Polygon Edge); (2) Web Crypto API Support: Attending physician and paramedic web browsers natively implement the standard W3C Web Cryptography API, providing hardware-accelerated AES-GCM and SHA-256 execution in secure browser memory; (3) Container Runtime: Participating healthcare institutions operate a Docker container engine hosting the isolated hospital storage appliance behind local institutional firewalls; and (4) Open-Source Auditability: The system depends entirely on open, auditable cryptographic libraries (ethers.js, Web Crypto, Solidity 0.8.28), eliminating reliance on closed-source commercial APIs [11], [14].</w:t>
      </w:r>
    </w:p>
    <w:p>
      <w:pPr>
        <w:keepNext/>
        <w:spacing w:before="280" w:after="120"/>
        <w:jc w:val="left"/>
      </w:pPr>
      <w:r>
        <w:rPr>
          <w:rFonts w:ascii="Times New Roman" w:hAnsi="Times New Roman"/>
          <w:b/>
          <w:i w:val="0"/>
          <w:color w:val="000000"/>
          <w:sz w:val="26"/>
        </w:rPr>
        <w:t>3.2 FUNCTIONAL REQUIREMENTS</w:t>
      </w:r>
    </w:p>
    <w:p>
      <w:pPr>
        <w:spacing w:before="0" w:after="120" w:line="276" w:lineRule="auto"/>
        <w:jc w:val="center"/>
      </w:pPr>
      <w:r>
        <w:rPr>
          <w:rFonts w:ascii="Times New Roman" w:hAnsi="Times New Roman"/>
          <w:b/>
          <w:i w:val="0"/>
          <w:color w:val="000000"/>
          <w:sz w:val="22"/>
        </w:rPr>
        <w:t>Table 3.1: Summary of MediQR functional requirements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129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Req ID</w:t>
            </w:r>
          </w:p>
        </w:tc>
        <w:tc>
          <w:tcPr>
            <w:tcW w:type="dxa" w:w="273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Subsystem / Feature</w:t>
            </w:r>
          </w:p>
        </w:tc>
        <w:tc>
          <w:tcPr>
            <w:tcW w:type="dxa" w:w="604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Functional Specification</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3.2.1</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Dual-Segment Emergency QR Generation &amp; Triage Parser</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Serialize critical emergency vitals (Blood group, severe allergies, chronic conditions, ICE phone) into a compressed URL query payload under 95 characters. Generate a Version 4 (33x33 matrix) QR code that parses instantly on mobile Google Lens [12].</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3.2.2</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Pseudonymous Patient HMAC Tokenization</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Derive a deterministic 32-byte bytes32 lookup token from patient identity numbers using HMAC-SHA256 keyed with a consortium master salt. The plaintext national ID is never transmitted or anchored on-chain [13], [15].</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3.2.3</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In-Memory AES-256-GCM Client Vault</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Execute authenticated symmetric encryption inside the physician's browser memory prior to transmission. Generate a 96-bit cryptographic IV and 128-bit authentication tag for each clinical file, guaranteeing complete confidentiality across transport relays [11].</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3.2.4</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Consortium Smart Contract Ledger Governance</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Enforce hierarchical Role-Based Access Control (Consortium Admin -&gt; Hospital Admin -&gt; Doctor) via MedicalRecordLedger.sol. Enable hospital onboarding, doctor credentialing, and immutable anchoring of 32-byte SHA-256 record hashes [1], [2].</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3.2.5</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Biometric Workstation Gatekeeper</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Enforce 500 DPI optical biometric fingerprint verification at the clinical workstation. The doctor terminal must reject consultation access and lock client-side AES decryption keys until biometric authentication completes [7].</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3.2.6</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Forensic Bit-Flip Tamper Detection</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Provide a real-time verification engine that re-hashes fetched off-chain records and matches them against on-chain smart contract fingerprints. Any single-bit corruption must immediately trigger an automated tamper alert and block record rendering [8].</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3.2.7</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Physical Smart Card &amp; Contactless NFC Reading</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Support dual-sided physical ID-1 card format with embedded passive 13.56 MHz NTAG216 NFC antenna coil, allowing instantaneous tap-to-read query token transmission at clinical physician workstations without battery reliance [12].</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FR 3.2.8</w:t>
            </w:r>
          </w:p>
        </w:tc>
        <w:tc>
          <w:tcPr>
            <w:tcW w:type="dxa" w:w="273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Interactive 3D Architecture Visualizer &amp; On-Chain Booking Engine</w:t>
            </w:r>
          </w:p>
        </w:tc>
        <w:tc>
          <w:tcPr>
            <w:tcW w:type="dxa" w:w="60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Implement browser-native 30-degree isometric projection engine and 4-step card provisioning portal (/book) enabling citizen onboarding, hospital vault selection, and automated block mining [2], [10].</w:t>
            </w:r>
          </w:p>
        </w:tc>
      </w:tr>
    </w:tbl>
    <w:p>
      <w:pPr>
        <w:spacing w:before="0" w:after="120"/>
      </w:pPr>
    </w:p>
    <w:p>
      <w:pPr>
        <w:keepNext/>
        <w:spacing w:before="280" w:after="120"/>
        <w:jc w:val="left"/>
      </w:pPr>
      <w:r>
        <w:rPr>
          <w:rFonts w:ascii="Times New Roman" w:hAnsi="Times New Roman"/>
          <w:b/>
          <w:i w:val="0"/>
          <w:color w:val="000000"/>
          <w:sz w:val="26"/>
        </w:rPr>
        <w:t>3.3 EXTERNAL INTERFACE REQUIREMENTS</w:t>
      </w:r>
    </w:p>
    <w:p>
      <w:pPr>
        <w:keepNext/>
        <w:spacing w:before="200" w:after="80"/>
        <w:jc w:val="left"/>
      </w:pPr>
      <w:r>
        <w:rPr>
          <w:rFonts w:ascii="Times New Roman" w:hAnsi="Times New Roman"/>
          <w:b/>
          <w:i w:val="0"/>
          <w:color w:val="000000"/>
          <w:sz w:val="24"/>
        </w:rPr>
        <w:t>3.3.1 User Interfaces</w:t>
      </w:r>
    </w:p>
    <w:p>
      <w:pPr>
        <w:spacing w:before="0" w:after="120" w:line="276" w:lineRule="auto"/>
        <w:jc w:val="both"/>
      </w:pPr>
      <w:r>
        <w:rPr>
          <w:rFonts w:ascii="Times New Roman" w:hAnsi="Times New Roman"/>
          <w:b w:val="0"/>
          <w:i w:val="0"/>
          <w:color w:val="000000"/>
          <w:sz w:val="24"/>
        </w:rPr>
        <w:t>MediQR provides four decoupled, responsive web interfaces tailored to specific operational personas: (1) Emergency Paramedic Terminal (/emergency): An ultra-streamlined mobile-first interface optimized for outdoor sunlight visibility, rendering high-contrast blood groups, critical drug allergy banners, and one-touch ICE telephone dialing; (2) Doctor Clinical Workstation (/doctor): An enterprise clinical charting console featuring an interactive patient selector, encrypted historical consultation timeline, biometric verification status badge, and consultation record creation forms; (3) Government Commissioning Utility (/installer): A secure administrative utility for Ministry of Health officials to onboard hospital nodes, bind physical hardware UUIDs, and enroll physician biometric templates; and (4) Citizen Card Provisioning &amp; Booking Portal (/book): A guided 4-step interface allowing citizens to register roadside emergency parameters, select verified hospital vaults, preview physical smart cards, and initiate on-chain block mining.</w:t>
      </w:r>
    </w:p>
    <w:p>
      <w:pPr>
        <w:keepNext/>
        <w:spacing w:before="200" w:after="80"/>
        <w:jc w:val="left"/>
      </w:pPr>
      <w:r>
        <w:rPr>
          <w:rFonts w:ascii="Times New Roman" w:hAnsi="Times New Roman"/>
          <w:b/>
          <w:i w:val="0"/>
          <w:color w:val="000000"/>
          <w:sz w:val="24"/>
        </w:rPr>
        <w:t>3.3.2 Hardware Interfaces</w:t>
      </w:r>
    </w:p>
    <w:p>
      <w:pPr>
        <w:spacing w:before="0" w:after="120" w:line="276" w:lineRule="auto"/>
        <w:jc w:val="both"/>
      </w:pPr>
      <w:r>
        <w:rPr>
          <w:rFonts w:ascii="Times New Roman" w:hAnsi="Times New Roman"/>
          <w:b w:val="0"/>
          <w:i w:val="0"/>
          <w:color w:val="000000"/>
          <w:sz w:val="24"/>
        </w:rPr>
        <w:t>Paramedic devices require standard autofocus CMOS camera sensors capable of scanning 2D barcodes under varying ambient lux levels. Clinical workstations interface with USB optical fingerprint scanners operating at 500 DPI spatial resolution with 8-bit grayscale capture in compliance with ANSI/NIST-ITL standards, as well as 13.56 MHz ISO/IEC 14443-A NFC readers for smart card tap-to-read interactions.</w:t>
      </w:r>
    </w:p>
    <w:p>
      <w:pPr>
        <w:keepNext/>
        <w:spacing w:before="200" w:after="80"/>
        <w:jc w:val="left"/>
      </w:pPr>
      <w:r>
        <w:rPr>
          <w:rFonts w:ascii="Times New Roman" w:hAnsi="Times New Roman"/>
          <w:b/>
          <w:i w:val="0"/>
          <w:color w:val="000000"/>
          <w:sz w:val="24"/>
        </w:rPr>
        <w:t>3.3.3 Software Interfaces</w:t>
      </w:r>
    </w:p>
    <w:p>
      <w:pPr>
        <w:spacing w:before="0" w:after="120" w:line="276" w:lineRule="auto"/>
        <w:jc w:val="both"/>
      </w:pPr>
      <w:r>
        <w:rPr>
          <w:rFonts w:ascii="Times New Roman" w:hAnsi="Times New Roman"/>
          <w:b w:val="0"/>
          <w:i w:val="0"/>
          <w:color w:val="000000"/>
          <w:sz w:val="24"/>
        </w:rPr>
        <w:t>The clinical frontend communicates with EVM blockchain validator nodes over JSON-RPC 2.0 (methods: eth_call, eth_sendTransaction, eth_getTransactionReceipt, and eth_getLogs). Off-chain encrypted payloads are transmitted to hospital storage appliances via HTTP/2 REST APIs (endpoints: /api/records, /api/tamper, and /api/health).</w:t>
      </w:r>
    </w:p>
    <w:p>
      <w:pPr>
        <w:keepNext/>
        <w:spacing w:before="280" w:after="120"/>
        <w:jc w:val="left"/>
      </w:pPr>
      <w:r>
        <w:rPr>
          <w:rFonts w:ascii="Times New Roman" w:hAnsi="Times New Roman"/>
          <w:b/>
          <w:i w:val="0"/>
          <w:color w:val="000000"/>
          <w:sz w:val="26"/>
        </w:rPr>
        <w:t>3.4 NONFUNCTIONAL REQUIREMENTS</w:t>
      </w:r>
    </w:p>
    <w:p>
      <w:pPr>
        <w:pStyle w:val="ListBullet"/>
        <w:spacing w:before="0" w:after="80" w:line="276" w:lineRule="auto"/>
      </w:pPr>
      <w:r>
        <w:rPr>
          <w:rFonts w:ascii="Times New Roman" w:hAnsi="Times New Roman"/>
          <w:b/>
          <w:i w:val="0"/>
          <w:color w:val="000000"/>
          <w:sz w:val="24"/>
        </w:rPr>
        <w:t xml:space="preserve">Performance &amp; Scan Latency: </w:t>
      </w:r>
      <w:r>
        <w:rPr>
          <w:rFonts w:ascii="Times New Roman" w:hAnsi="Times New Roman"/>
          <w:b w:val="0"/>
          <w:i w:val="0"/>
          <w:color w:val="000000"/>
          <w:sz w:val="24"/>
        </w:rPr>
        <w:t>Emergency QR code recognition and triage rendering must complete within 1.5 seconds on mid-range Android and iOS devices. In-memory AES-256-GCM encryption and decryption must execute in under 15 milliseconds for records up to 500 KB [11], [12].</w:t>
      </w:r>
    </w:p>
    <w:p>
      <w:pPr>
        <w:pStyle w:val="ListBullet"/>
        <w:spacing w:before="0" w:after="80" w:line="276" w:lineRule="auto"/>
      </w:pPr>
      <w:r>
        <w:rPr>
          <w:rFonts w:ascii="Times New Roman" w:hAnsi="Times New Roman"/>
          <w:b/>
          <w:i w:val="0"/>
          <w:color w:val="000000"/>
          <w:sz w:val="24"/>
        </w:rPr>
        <w:t xml:space="preserve">Cryptographic Tamper-Proofing: </w:t>
      </w:r>
      <w:r>
        <w:rPr>
          <w:rFonts w:ascii="Times New Roman" w:hAnsi="Times New Roman"/>
          <w:b w:val="0"/>
          <w:i w:val="0"/>
          <w:color w:val="000000"/>
          <w:sz w:val="24"/>
        </w:rPr>
        <w:t>The system must guarantee 100% detection of unauthorized off-chain modifications. Any flipped bit in off-chain JSON storage must result in a mismatched SHA-256 hash, causing the smart contract verification gate to halt decryption [8].</w:t>
      </w:r>
    </w:p>
    <w:p>
      <w:pPr>
        <w:pStyle w:val="ListBullet"/>
        <w:spacing w:before="0" w:after="80" w:line="276" w:lineRule="auto"/>
      </w:pPr>
      <w:r>
        <w:rPr>
          <w:rFonts w:ascii="Times New Roman" w:hAnsi="Times New Roman"/>
          <w:b/>
          <w:i w:val="0"/>
          <w:color w:val="000000"/>
          <w:sz w:val="24"/>
        </w:rPr>
        <w:t xml:space="preserve">Statutory Data Localization: </w:t>
      </w:r>
      <w:r>
        <w:rPr>
          <w:rFonts w:ascii="Times New Roman" w:hAnsi="Times New Roman"/>
          <w:b w:val="0"/>
          <w:i w:val="0"/>
          <w:color w:val="000000"/>
          <w:sz w:val="24"/>
        </w:rPr>
        <w:t>Encrypted medical dossiers must remain strictly confined to on-premise hospital storage containers located within domestic borders, satisfying the localization mandates of India's DPDP Act 2023 [15].</w:t>
      </w:r>
    </w:p>
    <w:p>
      <w:pPr>
        <w:pStyle w:val="ListBullet"/>
        <w:spacing w:before="0" w:after="80" w:line="276" w:lineRule="auto"/>
      </w:pPr>
      <w:r>
        <w:rPr>
          <w:rFonts w:ascii="Times New Roman" w:hAnsi="Times New Roman"/>
          <w:b/>
          <w:i w:val="0"/>
          <w:color w:val="000000"/>
          <w:sz w:val="24"/>
        </w:rPr>
        <w:t xml:space="preserve">Zero Gas Cost Economics: </w:t>
      </w:r>
      <w:r>
        <w:rPr>
          <w:rFonts w:ascii="Times New Roman" w:hAnsi="Times New Roman"/>
          <w:b w:val="0"/>
          <w:i w:val="0"/>
          <w:color w:val="000000"/>
          <w:sz w:val="24"/>
        </w:rPr>
        <w:t>Routine patient registration, doctor credentialing, and record anchoring must execute under zero-gas consortium configurations, preventing operational fee volatility [2].</w:t>
      </w:r>
    </w:p>
    <w:p>
      <w:pPr>
        <w:keepNext/>
        <w:spacing w:before="280" w:after="120"/>
        <w:jc w:val="left"/>
      </w:pPr>
      <w:r>
        <w:rPr>
          <w:rFonts w:ascii="Times New Roman" w:hAnsi="Times New Roman"/>
          <w:b/>
          <w:i w:val="0"/>
          <w:color w:val="000000"/>
          <w:sz w:val="26"/>
        </w:rPr>
        <w:t>3.5 SYSTEM REQUIREMENTS</w:t>
      </w:r>
    </w:p>
    <w:p>
      <w:pPr>
        <w:spacing w:before="0" w:after="120" w:line="276" w:lineRule="auto"/>
        <w:jc w:val="center"/>
      </w:pPr>
      <w:r>
        <w:rPr>
          <w:rFonts w:ascii="Times New Roman" w:hAnsi="Times New Roman"/>
          <w:b/>
          <w:i w:val="0"/>
          <w:color w:val="000000"/>
          <w:sz w:val="22"/>
        </w:rPr>
        <w:t>Table 3.2: Hardware, software, and validator environment specifications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00"/>
        <w:gridCol w:w="3000"/>
        <w:gridCol w:w="3000"/>
      </w:tblGrid>
      <w:tr>
        <w:trPr>
          <w:tblHeader/>
          <w:cantSplit/>
        </w:trPr>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Subsystem Component</w:t>
            </w:r>
          </w:p>
        </w:tc>
        <w:tc>
          <w:tcPr>
            <w:tcW w:type="dxa" w:w="331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Minimum Hardware Requirement</w:t>
            </w:r>
          </w:p>
        </w:tc>
        <w:tc>
          <w:tcPr>
            <w:tcW w:type="dxa" w:w="417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Recommended Production Deployment</w:t>
            </w:r>
          </w:p>
        </w:tc>
      </w:tr>
      <w:tr>
        <w:trPr>
          <w:cantSplit/>
        </w:trP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Paramedic Mobile Client</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Octa-core 1.8 GHz, 3 GB RAM, 8 MP Camera</w:t>
            </w:r>
          </w:p>
        </w:tc>
        <w:tc>
          <w:tcPr>
            <w:tcW w:type="dxa" w:w="417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Modern Smartphone with Google Lens / Chrome Mobile</w:t>
            </w:r>
          </w:p>
        </w:tc>
      </w:tr>
      <w:tr>
        <w:trPr>
          <w:cantSplit/>
        </w:trP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Hospital Edge Storage Node</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Dual-core 2.4 GHz, 4 GB RAM, 100 GB SSD</w:t>
            </w:r>
          </w:p>
        </w:tc>
        <w:tc>
          <w:tcPr>
            <w:tcW w:type="dxa" w:w="417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Docker Engine on Linux / Windows Server Appliance</w:t>
            </w:r>
          </w:p>
        </w:tc>
      </w:tr>
      <w:tr>
        <w:trPr>
          <w:cantSplit/>
        </w:trP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Physician Workstation</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Quad-core 2.5 GHz, 8 GB RAM, 1080p Monitor</w:t>
            </w:r>
          </w:p>
        </w:tc>
        <w:tc>
          <w:tcPr>
            <w:tcW w:type="dxa" w:w="417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Desktop Workstation with 500 DPI Biometric &amp; NFC Scanner</w:t>
            </w:r>
          </w:p>
        </w:tc>
      </w:tr>
      <w:tr>
        <w:trPr>
          <w:cantSplit/>
        </w:trPr>
        <w:tc>
          <w:tcPr>
            <w:tcW w:type="dxa" w:w="259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Consortium EVM Validator</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Quad-core 3.0 GHz, 16 GB RAM, 250 GB NVMe</w:t>
            </w:r>
          </w:p>
        </w:tc>
        <w:tc>
          <w:tcPr>
            <w:tcW w:type="dxa" w:w="417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Hyperledger Besu / Hardhat EVM Node with QBFT Consensus</w:t>
            </w:r>
          </w:p>
        </w:tc>
      </w:tr>
    </w:tbl>
    <w:p>
      <w:pPr>
        <w:spacing w:before="0" w:after="120"/>
      </w:pPr>
    </w:p>
    <w:p>
      <w:pPr>
        <w:keepNext/>
        <w:spacing w:before="280" w:after="120"/>
        <w:jc w:val="left"/>
      </w:pPr>
      <w:r>
        <w:rPr>
          <w:rFonts w:ascii="Times New Roman" w:hAnsi="Times New Roman"/>
          <w:b/>
          <w:i w:val="0"/>
          <w:color w:val="000000"/>
          <w:sz w:val="26"/>
        </w:rPr>
        <w:t>3.6 ANALYSIS MODEL: SDLC INCREMENTAL ENGINEERING LIFECYCLE</w:t>
      </w:r>
    </w:p>
    <w:p>
      <w:pPr>
        <w:spacing w:before="0" w:after="120" w:line="276" w:lineRule="auto"/>
        <w:jc w:val="both"/>
      </w:pPr>
      <w:r>
        <w:rPr>
          <w:rFonts w:ascii="Times New Roman" w:hAnsi="Times New Roman"/>
          <w:b w:val="0"/>
          <w:i w:val="0"/>
          <w:color w:val="000000"/>
          <w:sz w:val="24"/>
        </w:rPr>
        <w:t>MediQR followed a rigorous Incremental Software Development Life Cycle (SDLC) model. Because healthcare systems handle life-critical information, foundational cryptographic and smart contract layers were implemented, tested against external NIST test vectors, and formally verified before proceeding to UI workflows.</w:t>
      </w:r>
    </w:p>
    <w:p>
      <w:pPr>
        <w:spacing w:before="160" w:after="80"/>
        <w:jc w:val="center"/>
      </w:pPr>
      <w:r>
        <w:drawing>
          <wp:inline xmlns:a="http://schemas.openxmlformats.org/drawingml/2006/main" xmlns:pic="http://schemas.openxmlformats.org/drawingml/2006/picture">
            <wp:extent cx="5120640" cy="2858032"/>
            <wp:docPr id="2" name="Picture 2"/>
            <wp:cNvGraphicFramePr>
              <a:graphicFrameLocks noChangeAspect="1"/>
            </wp:cNvGraphicFramePr>
            <a:graphic>
              <a:graphicData uri="http://schemas.openxmlformats.org/drawingml/2006/picture">
                <pic:pic>
                  <pic:nvPicPr>
                    <pic:cNvPr id="0" name="Figure 3.1 Incremental software engineering SDLC process model.png"/>
                    <pic:cNvPicPr/>
                  </pic:nvPicPr>
                  <pic:blipFill>
                    <a:blip r:embed="rId11"/>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3.1: </w:t>
      </w:r>
      <w:r>
        <w:rPr>
          <w:rFonts w:ascii="Times New Roman" w:hAnsi="Times New Roman"/>
          <w:b w:val="0"/>
          <w:i/>
          <w:color w:val="000000"/>
          <w:sz w:val="22"/>
        </w:rPr>
        <w:t>Incremental software engineering SDLC process model applied to MediQR</w:t>
      </w:r>
      <w:r>
        <w:rPr>
          <w:rFonts w:ascii="Times New Roman" w:hAnsi="Times New Roman"/>
          <w:b/>
          <w:i w:val="0"/>
          <w:color w:val="000000"/>
          <w:sz w:val="22"/>
        </w:rPr>
        <w:t xml:space="preserve"> [8], [9]</w:t>
      </w:r>
    </w:p>
    <w:p>
      <w:r>
        <w:br w:type="page"/>
      </w:r>
    </w:p>
    <w:p>
      <w:pPr>
        <w:keepNext/>
        <w:spacing w:before="360" w:after="360"/>
        <w:jc w:val="center"/>
      </w:pPr>
      <w:r>
        <w:rPr>
          <w:rFonts w:ascii="Times New Roman" w:hAnsi="Times New Roman"/>
          <w:b/>
          <w:i w:val="0"/>
          <w:color w:val="000000"/>
          <w:sz w:val="32"/>
        </w:rPr>
        <w:t>CHAPTER 4</w:t>
        <w:br/>
        <w:t>SYSTEM DESIGN</w:t>
      </w:r>
    </w:p>
    <w:p>
      <w:pPr>
        <w:keepNext/>
        <w:spacing w:before="280" w:after="120"/>
        <w:jc w:val="left"/>
      </w:pPr>
      <w:r>
        <w:rPr>
          <w:rFonts w:ascii="Times New Roman" w:hAnsi="Times New Roman"/>
          <w:b/>
          <w:i w:val="0"/>
          <w:color w:val="000000"/>
          <w:sz w:val="26"/>
        </w:rPr>
        <w:t>4.1 SYSTEM ARCHITECTURE (3-TIER DECOUPLED PIPELINE)</w:t>
      </w:r>
    </w:p>
    <w:p>
      <w:pPr>
        <w:spacing w:before="0" w:after="120" w:line="276" w:lineRule="auto"/>
        <w:jc w:val="both"/>
      </w:pPr>
      <w:r>
        <w:rPr>
          <w:rFonts w:ascii="Times New Roman" w:hAnsi="Times New Roman"/>
          <w:b w:val="0"/>
          <w:i w:val="0"/>
          <w:color w:val="000000"/>
          <w:sz w:val="24"/>
        </w:rPr>
        <w:t>MediQR implements a 3-tier decoupled architecture designed to enforce strict separation of concerns between patient identity, encrypted clinical storage, and immutable blockchain provenance. The architecture comprises: (1) The Client Presentation &amp; Cryptographic Tier (Next.js web applications executing in browser memory); (2) The Off-Chain Hospital Edge Appliance Tier (containerized Node.js/Express microservices managing local encrypted file vaults); and (3) The Consortium Blockchain Ledger Tier (EVM smart contracts executing decentralized access control and hash verification) [2], [5], [10].</w:t>
      </w:r>
    </w:p>
    <w:p>
      <w:pPr>
        <w:spacing w:before="160" w:after="80"/>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Figure 4.1 System Architecture (3-Tier Decoupled Pipeline).png"/>
                    <pic:cNvPicPr/>
                  </pic:nvPicPr>
                  <pic:blipFill>
                    <a:blip r:embed="rId12"/>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4.1: </w:t>
      </w:r>
      <w:r>
        <w:rPr>
          <w:rFonts w:ascii="Times New Roman" w:hAnsi="Times New Roman"/>
          <w:b w:val="0"/>
          <w:i/>
          <w:color w:val="000000"/>
          <w:sz w:val="22"/>
        </w:rPr>
        <w:t>3-Tier decoupled system architecture: client, hospital appliance, EVM ledger</w:t>
      </w:r>
      <w:r>
        <w:rPr>
          <w:rFonts w:ascii="Times New Roman" w:hAnsi="Times New Roman"/>
          <w:b/>
          <w:i w:val="0"/>
          <w:color w:val="000000"/>
          <w:sz w:val="22"/>
        </w:rPr>
        <w:t xml:space="preserve"> [2], [5], [10]</w:t>
      </w:r>
    </w:p>
    <w:p>
      <w:pPr>
        <w:keepNext/>
        <w:spacing w:before="280" w:after="120"/>
        <w:jc w:val="left"/>
      </w:pPr>
      <w:r>
        <w:rPr>
          <w:rFonts w:ascii="Times New Roman" w:hAnsi="Times New Roman"/>
          <w:b/>
          <w:i w:val="0"/>
          <w:color w:val="000000"/>
          <w:sz w:val="26"/>
        </w:rPr>
        <w:t>4.2 MATHEMATICAL &amp; CRYPTOGRAPHIC MODEL</w:t>
      </w:r>
    </w:p>
    <w:p>
      <w:pPr>
        <w:spacing w:before="0" w:after="120" w:line="276" w:lineRule="auto"/>
        <w:jc w:val="both"/>
      </w:pPr>
      <w:r>
        <w:rPr>
          <w:rFonts w:ascii="Times New Roman" w:hAnsi="Times New Roman"/>
          <w:b w:val="0"/>
          <w:i w:val="0"/>
          <w:color w:val="000000"/>
          <w:sz w:val="24"/>
        </w:rPr>
        <w:t>The mathematical security of MediQR is formalized through three deterministic cryptographic algorithms [11], [13]:</w:t>
      </w:r>
    </w:p>
    <w:p>
      <w:pPr>
        <w:spacing w:before="0" w:after="120" w:line="276" w:lineRule="auto"/>
        <w:jc w:val="both"/>
      </w:pPr>
      <w:r>
        <w:rPr>
          <w:rFonts w:ascii="Times New Roman" w:hAnsi="Times New Roman"/>
          <w:b w:val="0"/>
          <w:i w:val="0"/>
          <w:color w:val="000000"/>
          <w:sz w:val="24"/>
        </w:rPr>
        <w:t>1. Salted HMAC-SHA256 Patient Tokenization: To prevent on-chain identity tracking, a deterministic 256-bit pseudonymization token T_p is derived from the patient's national identifier ID_p using HMAC-SHA256 keyed with a consortium master salt K_salt:</w:t>
      </w:r>
    </w:p>
    <w:p>
      <w:pPr>
        <w:spacing w:before="0" w:after="120" w:line="276" w:lineRule="auto"/>
        <w:jc w:val="center"/>
      </w:pPr>
      <w:r>
        <w:rPr>
          <w:rFonts w:ascii="Consolas" w:hAnsi="Consolas"/>
          <w:b/>
          <w:i w:val="0"/>
          <w:color w:val="000000"/>
          <w:sz w:val="22"/>
        </w:rPr>
        <w:t>T_p = HMAC-SHA256(K_salt, ID_p)</w:t>
      </w:r>
    </w:p>
    <w:p>
      <w:pPr>
        <w:spacing w:before="0" w:after="120" w:line="276" w:lineRule="auto"/>
        <w:jc w:val="both"/>
      </w:pPr>
      <w:r>
        <w:rPr>
          <w:rFonts w:ascii="Times New Roman" w:hAnsi="Times New Roman"/>
          <w:b w:val="0"/>
          <w:i w:val="0"/>
          <w:color w:val="000000"/>
          <w:sz w:val="24"/>
        </w:rPr>
        <w:t>2. Authenticated AES-256-GCM Encryption: Clinical consultation payload M is encrypted using AES in Galois/Counter Mode under a 256-bit symmetric key K_enc derived via PBKDF2 with a 96-bit random initialization vector IV. This produces ciphertext C and a 128-bit authentication tag Tag:</w:t>
      </w:r>
    </w:p>
    <w:p>
      <w:pPr>
        <w:spacing w:before="0" w:after="120" w:line="276" w:lineRule="auto"/>
        <w:jc w:val="center"/>
      </w:pPr>
      <w:r>
        <w:rPr>
          <w:rFonts w:ascii="Consolas" w:hAnsi="Consolas"/>
          <w:b/>
          <w:i w:val="0"/>
          <w:color w:val="000000"/>
          <w:sz w:val="22"/>
        </w:rPr>
        <w:t>(C, Tag) = AES-256-GCM_Encrypt(K_enc, IV, M, AAD)</w:t>
      </w:r>
    </w:p>
    <w:p>
      <w:pPr>
        <w:spacing w:before="0" w:after="120" w:line="276" w:lineRule="auto"/>
        <w:jc w:val="both"/>
      </w:pPr>
      <w:r>
        <w:rPr>
          <w:rFonts w:ascii="Times New Roman" w:hAnsi="Times New Roman"/>
          <w:b w:val="0"/>
          <w:i w:val="0"/>
          <w:color w:val="000000"/>
          <w:sz w:val="24"/>
        </w:rPr>
        <w:t>3. On-Chain Cryptographic Wax Seal &amp; Verification: The stored encrypted package P = {C, IV, Tag} is fingerprinted using SHA-256 to compute a 32-byte digest H_local, which is anchored onto the smart contract as H_ledger. Decryption is permitted if and only if:</w:t>
      </w:r>
    </w:p>
    <w:p>
      <w:pPr>
        <w:spacing w:before="0" w:after="120" w:line="276" w:lineRule="auto"/>
        <w:jc w:val="center"/>
      </w:pPr>
      <w:r>
        <w:rPr>
          <w:rFonts w:ascii="Consolas" w:hAnsi="Consolas"/>
          <w:b/>
          <w:i w:val="0"/>
          <w:color w:val="000000"/>
          <w:sz w:val="22"/>
        </w:rPr>
        <w:t>SHA-256(P_fetched) == H_ledger</w:t>
      </w:r>
    </w:p>
    <w:p>
      <w:pPr>
        <w:spacing w:before="0" w:after="120" w:line="276" w:lineRule="auto"/>
        <w:jc w:val="both"/>
      </w:pPr>
      <w:r>
        <w:rPr>
          <w:rFonts w:ascii="Times New Roman" w:hAnsi="Times New Roman"/>
          <w:b w:val="0"/>
          <w:i w:val="0"/>
          <w:color w:val="000000"/>
          <w:sz w:val="24"/>
        </w:rPr>
        <w:t>If a single bit b_i in P is flipped, avalanche entropy ensures SHA-256(P') != H_ledger, halting execution and sounding a cryptographic tamper alarm [8].</w:t>
      </w:r>
    </w:p>
    <w:p>
      <w:pPr>
        <w:keepNext/>
        <w:spacing w:before="280" w:after="120"/>
        <w:jc w:val="left"/>
      </w:pPr>
      <w:r>
        <w:rPr>
          <w:rFonts w:ascii="Times New Roman" w:hAnsi="Times New Roman"/>
          <w:b/>
          <w:i w:val="0"/>
          <w:color w:val="000000"/>
          <w:sz w:val="26"/>
        </w:rPr>
        <w:t>4.3 DATA FLOW DIAGRAMS</w:t>
      </w:r>
    </w:p>
    <w:p>
      <w:pPr>
        <w:spacing w:before="0" w:after="120" w:line="276" w:lineRule="auto"/>
        <w:jc w:val="both"/>
      </w:pPr>
      <w:r>
        <w:rPr>
          <w:rFonts w:ascii="Times New Roman" w:hAnsi="Times New Roman"/>
          <w:b w:val="0"/>
          <w:i w:val="0"/>
          <w:color w:val="000000"/>
          <w:sz w:val="24"/>
        </w:rPr>
        <w:t>Figure 4.2 illustrates the Context-Level Data Flow Diagram (Level 0 DFD), capturing interactions between the MediQR core engine and external entities: First Responder / Paramedic, Attending Physician, Consortium Blockchain, and Government Authority [1], [6], [14].</w:t>
      </w:r>
    </w:p>
    <w:p>
      <w:pPr>
        <w:spacing w:before="160" w:after="80"/>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Figure 4.2 Context-level data flow diagram Level 0.png"/>
                    <pic:cNvPicPr/>
                  </pic:nvPicPr>
                  <pic:blipFill>
                    <a:blip r:embed="rId13"/>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4.2: </w:t>
      </w:r>
      <w:r>
        <w:rPr>
          <w:rFonts w:ascii="Times New Roman" w:hAnsi="Times New Roman"/>
          <w:b w:val="0"/>
          <w:i/>
          <w:color w:val="000000"/>
          <w:sz w:val="22"/>
        </w:rPr>
        <w:t>Context-level data flow diagram (Level 0 DFD) showing external entities</w:t>
      </w:r>
      <w:r>
        <w:rPr>
          <w:rFonts w:ascii="Times New Roman" w:hAnsi="Times New Roman"/>
          <w:b/>
          <w:i w:val="0"/>
          <w:color w:val="000000"/>
          <w:sz w:val="22"/>
        </w:rPr>
        <w:t xml:space="preserve"> [1], [6], [14]</w:t>
      </w:r>
    </w:p>
    <w:p>
      <w:pPr>
        <w:spacing w:before="0" w:after="120" w:line="276" w:lineRule="auto"/>
        <w:jc w:val="both"/>
      </w:pPr>
      <w:r>
        <w:rPr>
          <w:rFonts w:ascii="Times New Roman" w:hAnsi="Times New Roman"/>
          <w:b w:val="0"/>
          <w:i w:val="0"/>
          <w:color w:val="000000"/>
          <w:sz w:val="24"/>
        </w:rPr>
        <w:t>Figure 4.3 details the Level 1 Data Flow Diagram, decomposing internal processes: (1.0) Emergency Optical Scan, (2.0) Biometric Authentication Gatekeeper, (3.0) Client-Side AES-256-GCM Encryption, (4.0) On-Chain Fingerprint Anchoring, and (5.0) Ledger Hash Verification [7], [11], [12].</w:t>
      </w:r>
    </w:p>
    <w:p>
      <w:pPr>
        <w:spacing w:before="160" w:after="80"/>
        <w:jc w:val="center"/>
      </w:pPr>
      <w:r>
        <w:drawing>
          <wp:inline xmlns:a="http://schemas.openxmlformats.org/drawingml/2006/main" xmlns:pic="http://schemas.openxmlformats.org/drawingml/2006/picture">
            <wp:extent cx="5120640" cy="2858032"/>
            <wp:docPr id="5" name="Picture 5"/>
            <wp:cNvGraphicFramePr>
              <a:graphicFrameLocks noChangeAspect="1"/>
            </wp:cNvGraphicFramePr>
            <a:graphic>
              <a:graphicData uri="http://schemas.openxmlformats.org/drawingml/2006/picture">
                <pic:pic>
                  <pic:nvPicPr>
                    <pic:cNvPr id="0" name="Figure 4.3 Data flow diagram Level 1.png"/>
                    <pic:cNvPicPr/>
                  </pic:nvPicPr>
                  <pic:blipFill>
                    <a:blip r:embed="rId14"/>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4.3: </w:t>
      </w:r>
      <w:r>
        <w:rPr>
          <w:rFonts w:ascii="Times New Roman" w:hAnsi="Times New Roman"/>
          <w:b w:val="0"/>
          <w:i/>
          <w:color w:val="000000"/>
          <w:sz w:val="22"/>
        </w:rPr>
        <w:t>Data flow diagram, Level 1: clinical triage, biometrics, and hash anchoring</w:t>
      </w:r>
      <w:r>
        <w:rPr>
          <w:rFonts w:ascii="Times New Roman" w:hAnsi="Times New Roman"/>
          <w:b/>
          <w:i w:val="0"/>
          <w:color w:val="000000"/>
          <w:sz w:val="22"/>
        </w:rPr>
        <w:t xml:space="preserve"> [7], [11], [12]</w:t>
      </w:r>
    </w:p>
    <w:p>
      <w:pPr>
        <w:spacing w:before="0" w:after="120" w:line="276" w:lineRule="auto"/>
        <w:jc w:val="both"/>
      </w:pPr>
      <w:r>
        <w:rPr>
          <w:rFonts w:ascii="Times New Roman" w:hAnsi="Times New Roman"/>
          <w:b w:val="0"/>
          <w:i w:val="0"/>
          <w:color w:val="000000"/>
          <w:sz w:val="24"/>
        </w:rPr>
        <w:t>Figure 4.4 illustrates the Level 2 Data Flow Diagram, expanding the cryptographic record creation and anchoring pipeline from random IV generation through smart contract event emission [11], [15].</w:t>
      </w:r>
    </w:p>
    <w:p>
      <w:pPr>
        <w:spacing w:before="160" w:after="80"/>
        <w:jc w:val="center"/>
      </w:pPr>
      <w:r>
        <w:drawing>
          <wp:inline xmlns:a="http://schemas.openxmlformats.org/drawingml/2006/main" xmlns:pic="http://schemas.openxmlformats.org/drawingml/2006/picture">
            <wp:extent cx="5120640" cy="2047740"/>
            <wp:docPr id="6" name="Picture 6"/>
            <wp:cNvGraphicFramePr>
              <a:graphicFrameLocks noChangeAspect="1"/>
            </wp:cNvGraphicFramePr>
            <a:graphic>
              <a:graphicData uri="http://schemas.openxmlformats.org/drawingml/2006/picture">
                <pic:pic>
                  <pic:nvPicPr>
                    <pic:cNvPr id="0" name="Figure 4.4 Data flow diagram Level 2.png"/>
                    <pic:cNvPicPr/>
                  </pic:nvPicPr>
                  <pic:blipFill>
                    <a:blip r:embed="rId15"/>
                    <a:stretch>
                      <a:fillRect/>
                    </a:stretch>
                  </pic:blipFill>
                  <pic:spPr>
                    <a:xfrm>
                      <a:off x="0" y="0"/>
                      <a:ext cx="5120640" cy="2047740"/>
                    </a:xfrm>
                    <a:prstGeom prst="rect"/>
                  </pic:spPr>
                </pic:pic>
              </a:graphicData>
            </a:graphic>
          </wp:inline>
        </w:drawing>
      </w:r>
    </w:p>
    <w:p>
      <w:pPr>
        <w:spacing w:before="80" w:after="240"/>
        <w:jc w:val="center"/>
      </w:pPr>
      <w:r>
        <w:rPr>
          <w:rFonts w:ascii="Times New Roman" w:hAnsi="Times New Roman"/>
          <w:b/>
          <w:i w:val="0"/>
          <w:color w:val="000000"/>
          <w:sz w:val="22"/>
        </w:rPr>
        <w:t xml:space="preserve">Fig. 4.4: </w:t>
      </w:r>
      <w:r>
        <w:rPr>
          <w:rFonts w:ascii="Times New Roman" w:hAnsi="Times New Roman"/>
          <w:b w:val="0"/>
          <w:i/>
          <w:color w:val="000000"/>
          <w:sz w:val="22"/>
        </w:rPr>
        <w:t>Data flow diagram, Level 2: record encryption, tag calculation, and storage pipeline</w:t>
      </w:r>
      <w:r>
        <w:rPr>
          <w:rFonts w:ascii="Times New Roman" w:hAnsi="Times New Roman"/>
          <w:b/>
          <w:i w:val="0"/>
          <w:color w:val="000000"/>
          <w:sz w:val="22"/>
        </w:rPr>
        <w:t xml:space="preserve"> [11], [15]</w:t>
      </w:r>
    </w:p>
    <w:p>
      <w:pPr>
        <w:keepNext/>
        <w:spacing w:before="280" w:after="120"/>
        <w:jc w:val="left"/>
      </w:pPr>
      <w:r>
        <w:rPr>
          <w:rFonts w:ascii="Times New Roman" w:hAnsi="Times New Roman"/>
          <w:b/>
          <w:i w:val="0"/>
          <w:color w:val="000000"/>
          <w:sz w:val="26"/>
        </w:rPr>
        <w:t>4.4 ENTITY-RELATIONSHIP / DATA MODEL</w:t>
      </w:r>
    </w:p>
    <w:p>
      <w:pPr>
        <w:spacing w:before="0" w:after="120" w:line="276" w:lineRule="auto"/>
        <w:jc w:val="both"/>
      </w:pPr>
      <w:r>
        <w:rPr>
          <w:rFonts w:ascii="Times New Roman" w:hAnsi="Times New Roman"/>
          <w:b w:val="0"/>
          <w:i w:val="0"/>
          <w:color w:val="000000"/>
          <w:sz w:val="24"/>
        </w:rPr>
        <w:t>Figure 4.5 illustrates the hybrid data model mapping on-chain smart contract structs (ConsortiumHospital, ConsortiumDoctor, PatientToken, RecordPointer) to off-chain hospital storage schema [3], [13].</w:t>
      </w:r>
    </w:p>
    <w:p>
      <w:pPr>
        <w:spacing w:before="160" w:after="80"/>
        <w:jc w:val="center"/>
      </w:pPr>
      <w:r>
        <w:drawing>
          <wp:inline xmlns:a="http://schemas.openxmlformats.org/drawingml/2006/main" xmlns:pic="http://schemas.openxmlformats.org/drawingml/2006/picture">
            <wp:extent cx="5120640" cy="2858032"/>
            <wp:docPr id="7" name="Picture 7"/>
            <wp:cNvGraphicFramePr>
              <a:graphicFrameLocks noChangeAspect="1"/>
            </wp:cNvGraphicFramePr>
            <a:graphic>
              <a:graphicData uri="http://schemas.openxmlformats.org/drawingml/2006/picture">
                <pic:pic>
                  <pic:nvPicPr>
                    <pic:cNvPr id="0" name="Figure 4.5 On-chain and off-chain data model ER diagram.png"/>
                    <pic:cNvPicPr/>
                  </pic:nvPicPr>
                  <pic:blipFill>
                    <a:blip r:embed="rId16"/>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4.5: </w:t>
      </w:r>
      <w:r>
        <w:rPr>
          <w:rFonts w:ascii="Times New Roman" w:hAnsi="Times New Roman"/>
          <w:b w:val="0"/>
          <w:i/>
          <w:color w:val="000000"/>
          <w:sz w:val="22"/>
        </w:rPr>
        <w:t>On-chain and off-chain data model (Entity-Relationship diagram)</w:t>
      </w:r>
      <w:r>
        <w:rPr>
          <w:rFonts w:ascii="Times New Roman" w:hAnsi="Times New Roman"/>
          <w:b/>
          <w:i w:val="0"/>
          <w:color w:val="000000"/>
          <w:sz w:val="22"/>
        </w:rPr>
        <w:t xml:space="preserve"> [3], [13]</w:t>
      </w:r>
    </w:p>
    <w:p>
      <w:pPr>
        <w:keepNext/>
        <w:spacing w:before="280" w:after="120"/>
        <w:jc w:val="left"/>
      </w:pPr>
      <w:r>
        <w:rPr>
          <w:rFonts w:ascii="Times New Roman" w:hAnsi="Times New Roman"/>
          <w:b/>
          <w:i w:val="0"/>
          <w:color w:val="000000"/>
          <w:sz w:val="26"/>
        </w:rPr>
        <w:t>4.5 UML STRUCTURAL &amp; BEHAVIORAL MODELING</w:t>
      </w:r>
    </w:p>
    <w:p>
      <w:pPr>
        <w:spacing w:before="0" w:after="120" w:line="276" w:lineRule="auto"/>
        <w:jc w:val="both"/>
      </w:pPr>
      <w:r>
        <w:rPr>
          <w:rFonts w:ascii="Times New Roman" w:hAnsi="Times New Roman"/>
          <w:b w:val="0"/>
          <w:i w:val="0"/>
          <w:color w:val="000000"/>
          <w:sz w:val="24"/>
        </w:rPr>
        <w:t>To comprehensively document system behavior, formal UML diagrams were engineered across all operational perspectives [2], [4], [7]:</w:t>
      </w:r>
    </w:p>
    <w:p>
      <w:pPr>
        <w:spacing w:before="160" w:after="80"/>
        <w:jc w:val="center"/>
      </w:pPr>
      <w:r>
        <w:drawing>
          <wp:inline xmlns:a="http://schemas.openxmlformats.org/drawingml/2006/main" xmlns:pic="http://schemas.openxmlformats.org/drawingml/2006/picture">
            <wp:extent cx="5120640" cy="4716235"/>
            <wp:docPr id="8" name="Picture 8"/>
            <wp:cNvGraphicFramePr>
              <a:graphicFrameLocks noChangeAspect="1"/>
            </wp:cNvGraphicFramePr>
            <a:graphic>
              <a:graphicData uri="http://schemas.openxmlformats.org/drawingml/2006/picture">
                <pic:pic>
                  <pic:nvPicPr>
                    <pic:cNvPr id="0" name="Figure 4.6 UML Use Case Diagram.png"/>
                    <pic:cNvPicPr/>
                  </pic:nvPicPr>
                  <pic:blipFill>
                    <a:blip r:embed="rId17"/>
                    <a:stretch>
                      <a:fillRect/>
                    </a:stretch>
                  </pic:blipFill>
                  <pic:spPr>
                    <a:xfrm>
                      <a:off x="0" y="0"/>
                      <a:ext cx="5120640" cy="4716235"/>
                    </a:xfrm>
                    <a:prstGeom prst="rect"/>
                  </pic:spPr>
                </pic:pic>
              </a:graphicData>
            </a:graphic>
          </wp:inline>
        </w:drawing>
      </w:r>
    </w:p>
    <w:p>
      <w:pPr>
        <w:spacing w:before="80" w:after="240"/>
        <w:jc w:val="center"/>
      </w:pPr>
      <w:r>
        <w:rPr>
          <w:rFonts w:ascii="Times New Roman" w:hAnsi="Times New Roman"/>
          <w:b/>
          <w:i w:val="0"/>
          <w:color w:val="000000"/>
          <w:sz w:val="22"/>
        </w:rPr>
        <w:t xml:space="preserve">Fig. 4.6: </w:t>
      </w:r>
      <w:r>
        <w:rPr>
          <w:rFonts w:ascii="Times New Roman" w:hAnsi="Times New Roman"/>
          <w:b w:val="0"/>
          <w:i/>
          <w:color w:val="000000"/>
          <w:sz w:val="22"/>
        </w:rPr>
        <w:t>UML use case diagram: paramedic, attending doctor, hospital admin, and govt installer</w:t>
      </w:r>
      <w:r>
        <w:rPr>
          <w:rFonts w:ascii="Times New Roman" w:hAnsi="Times New Roman"/>
          <w:b/>
          <w:i w:val="0"/>
          <w:color w:val="000000"/>
          <w:sz w:val="22"/>
        </w:rPr>
        <w:t xml:space="preserve"> [2], [7]</w:t>
      </w:r>
    </w:p>
    <w:p>
      <w:pPr>
        <w:spacing w:before="160" w:after="80"/>
        <w:jc w:val="center"/>
      </w:pPr>
      <w:r>
        <w:drawing>
          <wp:inline xmlns:a="http://schemas.openxmlformats.org/drawingml/2006/main" xmlns:pic="http://schemas.openxmlformats.org/drawingml/2006/picture">
            <wp:extent cx="5120640" cy="3169374"/>
            <wp:docPr id="9" name="Picture 9"/>
            <wp:cNvGraphicFramePr>
              <a:graphicFrameLocks noChangeAspect="1"/>
            </wp:cNvGraphicFramePr>
            <a:graphic>
              <a:graphicData uri="http://schemas.openxmlformats.org/drawingml/2006/picture">
                <pic:pic>
                  <pic:nvPicPr>
                    <pic:cNvPr id="0" name="Figure 4.7 UML Sequence Diagram (Cross-Hospital Verification).png"/>
                    <pic:cNvPicPr/>
                  </pic:nvPicPr>
                  <pic:blipFill>
                    <a:blip r:embed="rId18"/>
                    <a:stretch>
                      <a:fillRect/>
                    </a:stretch>
                  </pic:blipFill>
                  <pic:spPr>
                    <a:xfrm>
                      <a:off x="0" y="0"/>
                      <a:ext cx="5120640" cy="3169374"/>
                    </a:xfrm>
                    <a:prstGeom prst="rect"/>
                  </pic:spPr>
                </pic:pic>
              </a:graphicData>
            </a:graphic>
          </wp:inline>
        </w:drawing>
      </w:r>
    </w:p>
    <w:p>
      <w:pPr>
        <w:spacing w:before="80" w:after="240"/>
        <w:jc w:val="center"/>
      </w:pPr>
      <w:r>
        <w:rPr>
          <w:rFonts w:ascii="Times New Roman" w:hAnsi="Times New Roman"/>
          <w:b/>
          <w:i w:val="0"/>
          <w:color w:val="000000"/>
          <w:sz w:val="22"/>
        </w:rPr>
        <w:t xml:space="preserve">Fig. 4.7: </w:t>
      </w:r>
      <w:r>
        <w:rPr>
          <w:rFonts w:ascii="Times New Roman" w:hAnsi="Times New Roman"/>
          <w:b w:val="0"/>
          <w:i/>
          <w:color w:val="000000"/>
          <w:sz w:val="22"/>
        </w:rPr>
        <w:t>UML sequence diagram: cross-hospital emergency record verification and decryption</w:t>
      </w:r>
      <w:r>
        <w:rPr>
          <w:rFonts w:ascii="Times New Roman" w:hAnsi="Times New Roman"/>
          <w:b/>
          <w:i w:val="0"/>
          <w:color w:val="000000"/>
          <w:sz w:val="22"/>
        </w:rPr>
        <w:t xml:space="preserve"> [6], [8]</w:t>
      </w:r>
    </w:p>
    <w:p>
      <w:pPr>
        <w:spacing w:before="160" w:after="80"/>
        <w:jc w:val="center"/>
      </w:pPr>
      <w:r>
        <w:drawing>
          <wp:inline xmlns:a="http://schemas.openxmlformats.org/drawingml/2006/main" xmlns:pic="http://schemas.openxmlformats.org/drawingml/2006/picture">
            <wp:extent cx="5120640" cy="2858032"/>
            <wp:docPr id="10" name="Picture 10"/>
            <wp:cNvGraphicFramePr>
              <a:graphicFrameLocks noChangeAspect="1"/>
            </wp:cNvGraphicFramePr>
            <a:graphic>
              <a:graphicData uri="http://schemas.openxmlformats.org/drawingml/2006/picture">
                <pic:pic>
                  <pic:nvPicPr>
                    <pic:cNvPr id="0" name="Figure 4.8 UML class and module structural diagram.png"/>
                    <pic:cNvPicPr/>
                  </pic:nvPicPr>
                  <pic:blipFill>
                    <a:blip r:embed="rId19"/>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4.8: </w:t>
      </w:r>
      <w:r>
        <w:rPr>
          <w:rFonts w:ascii="Times New Roman" w:hAnsi="Times New Roman"/>
          <w:b w:val="0"/>
          <w:i/>
          <w:color w:val="000000"/>
          <w:sz w:val="22"/>
        </w:rPr>
        <w:t>UML class and module structural diagram: core cryptography, ledger client, and UI</w:t>
      </w:r>
      <w:r>
        <w:rPr>
          <w:rFonts w:ascii="Times New Roman" w:hAnsi="Times New Roman"/>
          <w:b/>
          <w:i w:val="0"/>
          <w:color w:val="000000"/>
          <w:sz w:val="22"/>
        </w:rPr>
        <w:t xml:space="preserve"> [4], [11]</w:t>
      </w:r>
    </w:p>
    <w:p>
      <w:pPr>
        <w:spacing w:before="160" w:after="80"/>
        <w:jc w:val="center"/>
      </w:pPr>
      <w:r>
        <w:drawing>
          <wp:inline xmlns:a="http://schemas.openxmlformats.org/drawingml/2006/main" xmlns:pic="http://schemas.openxmlformats.org/drawingml/2006/picture">
            <wp:extent cx="5120640" cy="3413760"/>
            <wp:docPr id="11" name="Picture 11"/>
            <wp:cNvGraphicFramePr>
              <a:graphicFrameLocks noChangeAspect="1"/>
            </wp:cNvGraphicFramePr>
            <a:graphic>
              <a:graphicData uri="http://schemas.openxmlformats.org/drawingml/2006/picture">
                <pic:pic>
                  <pic:nvPicPr>
                    <pic:cNvPr id="0" name="Figure 4.9 UML component diagram.png"/>
                    <pic:cNvPicPr/>
                  </pic:nvPicPr>
                  <pic:blipFill>
                    <a:blip r:embed="rId20"/>
                    <a:stretch>
                      <a:fillRect/>
                    </a:stretch>
                  </pic:blipFill>
                  <pic:spPr>
                    <a:xfrm>
                      <a:off x="0" y="0"/>
                      <a:ext cx="5120640" cy="3413760"/>
                    </a:xfrm>
                    <a:prstGeom prst="rect"/>
                  </pic:spPr>
                </pic:pic>
              </a:graphicData>
            </a:graphic>
          </wp:inline>
        </w:drawing>
      </w:r>
    </w:p>
    <w:p>
      <w:pPr>
        <w:spacing w:before="80" w:after="240"/>
        <w:jc w:val="center"/>
      </w:pPr>
      <w:r>
        <w:rPr>
          <w:rFonts w:ascii="Times New Roman" w:hAnsi="Times New Roman"/>
          <w:b/>
          <w:i w:val="0"/>
          <w:color w:val="000000"/>
          <w:sz w:val="22"/>
        </w:rPr>
        <w:t xml:space="preserve">Fig. 4.9: </w:t>
      </w:r>
      <w:r>
        <w:rPr>
          <w:rFonts w:ascii="Times New Roman" w:hAnsi="Times New Roman"/>
          <w:b w:val="0"/>
          <w:i/>
          <w:color w:val="000000"/>
          <w:sz w:val="22"/>
        </w:rPr>
        <w:t>UML component diagram of Next.js runtime, Docker appliance, and Hardhat node</w:t>
      </w:r>
      <w:r>
        <w:rPr>
          <w:rFonts w:ascii="Times New Roman" w:hAnsi="Times New Roman"/>
          <w:b/>
          <w:i w:val="0"/>
          <w:color w:val="000000"/>
          <w:sz w:val="22"/>
        </w:rPr>
        <w:t xml:space="preserve"> [5], [10]</w:t>
      </w:r>
    </w:p>
    <w:p>
      <w:pPr>
        <w:spacing w:before="160" w:after="80"/>
        <w:jc w:val="center"/>
      </w:pPr>
      <w:r>
        <w:drawing>
          <wp:inline xmlns:a="http://schemas.openxmlformats.org/drawingml/2006/main" xmlns:pic="http://schemas.openxmlformats.org/drawingml/2006/picture">
            <wp:extent cx="5120640" cy="2858032"/>
            <wp:docPr id="12" name="Picture 12"/>
            <wp:cNvGraphicFramePr>
              <a:graphicFrameLocks noChangeAspect="1"/>
            </wp:cNvGraphicFramePr>
            <a:graphic>
              <a:graphicData uri="http://schemas.openxmlformats.org/drawingml/2006/picture">
                <pic:pic>
                  <pic:nvPicPr>
                    <pic:cNvPr id="0" name="Figure 4.10 UML deployment diagram..png"/>
                    <pic:cNvPicPr/>
                  </pic:nvPicPr>
                  <pic:blipFill>
                    <a:blip r:embed="rId21"/>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4.10: </w:t>
      </w:r>
      <w:r>
        <w:rPr>
          <w:rFonts w:ascii="Times New Roman" w:hAnsi="Times New Roman"/>
          <w:b w:val="0"/>
          <w:i/>
          <w:color w:val="000000"/>
          <w:sz w:val="22"/>
        </w:rPr>
        <w:t>UML deployment diagram: mobile paramedic device, hospital servers, EVM peer nodes</w:t>
      </w:r>
      <w:r>
        <w:rPr>
          <w:rFonts w:ascii="Times New Roman" w:hAnsi="Times New Roman"/>
          <w:b/>
          <w:i w:val="0"/>
          <w:color w:val="000000"/>
          <w:sz w:val="22"/>
        </w:rPr>
        <w:t xml:space="preserve"> [5], [8]</w:t>
      </w:r>
    </w:p>
    <w:p>
      <w:pPr>
        <w:spacing w:before="160" w:after="80"/>
        <w:jc w:val="center"/>
      </w:pPr>
      <w:r>
        <w:drawing>
          <wp:inline xmlns:a="http://schemas.openxmlformats.org/drawingml/2006/main" xmlns:pic="http://schemas.openxmlformats.org/drawingml/2006/picture">
            <wp:extent cx="5120640" cy="2858032"/>
            <wp:docPr id="13" name="Picture 13"/>
            <wp:cNvGraphicFramePr>
              <a:graphicFrameLocks noChangeAspect="1"/>
            </wp:cNvGraphicFramePr>
            <a:graphic>
              <a:graphicData uri="http://schemas.openxmlformats.org/drawingml/2006/picture">
                <pic:pic>
                  <pic:nvPicPr>
                    <pic:cNvPr id="0" name="Figure 4.11 UML state machine diagram.png"/>
                    <pic:cNvPicPr/>
                  </pic:nvPicPr>
                  <pic:blipFill>
                    <a:blip r:embed="rId22"/>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4.11: </w:t>
      </w:r>
      <w:r>
        <w:rPr>
          <w:rFonts w:ascii="Times New Roman" w:hAnsi="Times New Roman"/>
          <w:b w:val="0"/>
          <w:i/>
          <w:color w:val="000000"/>
          <w:sz w:val="22"/>
        </w:rPr>
        <w:t>UML state machine diagram: medical record lifecycle and forensic tamper detection</w:t>
      </w:r>
      <w:r>
        <w:rPr>
          <w:rFonts w:ascii="Times New Roman" w:hAnsi="Times New Roman"/>
          <w:b/>
          <w:i w:val="0"/>
          <w:color w:val="000000"/>
          <w:sz w:val="22"/>
        </w:rPr>
        <w:t xml:space="preserve"> [7], [8]</w:t>
      </w:r>
    </w:p>
    <w:p>
      <w:pPr>
        <w:keepNext/>
        <w:spacing w:before="280" w:after="120"/>
        <w:jc w:val="left"/>
      </w:pPr>
      <w:r>
        <w:rPr>
          <w:rFonts w:ascii="Times New Roman" w:hAnsi="Times New Roman"/>
          <w:b/>
          <w:i w:val="0"/>
          <w:color w:val="000000"/>
          <w:sz w:val="26"/>
        </w:rPr>
        <w:t>4.6 INTERACTIVE 3D ISOMETRIC PROJECTION ARCHITECTURE &amp; SCROLLYTELLING ENGINE</w:t>
      </w:r>
    </w:p>
    <w:p>
      <w:pPr>
        <w:spacing w:before="0" w:after="120" w:line="276" w:lineRule="auto"/>
        <w:jc w:val="both"/>
      </w:pPr>
      <w:r>
        <w:rPr>
          <w:rFonts w:ascii="Times New Roman" w:hAnsi="Times New Roman"/>
          <w:b w:val="0"/>
          <w:i w:val="0"/>
          <w:color w:val="000000"/>
          <w:sz w:val="24"/>
        </w:rPr>
        <w:t>To bridge the gap between abstract distributed ledger mechanics and real-world clinical comprehension, MediQR introduces a browser-native 3D mathematical isometric projection engine. Rather than relying on heavy WebGL libraries that introduce battery drain on paramedic field devices, the architectural engine implements pure trigonometric isometric coordinate projections in responsive SVG:</w:t>
      </w:r>
    </w:p>
    <w:p>
      <w:pPr>
        <w:spacing w:before="0" w:after="120" w:line="276" w:lineRule="auto"/>
        <w:jc w:val="center"/>
      </w:pPr>
      <w:r>
        <w:rPr>
          <w:rFonts w:ascii="Consolas" w:hAnsi="Consolas"/>
          <w:b/>
          <w:i w:val="0"/>
          <w:color w:val="000000"/>
          <w:sz w:val="22"/>
        </w:rPr>
        <w:t>x_iso = x_origin + (x - y) * cos(30°)</w:t>
        <w:br/>
        <w:t>y_iso = y_origin + (x + y) * sin(30°) - z</w:t>
      </w:r>
    </w:p>
    <w:p>
      <w:pPr>
        <w:spacing w:before="0" w:after="120" w:line="276" w:lineRule="auto"/>
        <w:jc w:val="both"/>
      </w:pPr>
      <w:r>
        <w:rPr>
          <w:rFonts w:ascii="Times New Roman" w:hAnsi="Times New Roman"/>
          <w:b w:val="0"/>
          <w:i w:val="0"/>
          <w:color w:val="000000"/>
          <w:sz w:val="24"/>
        </w:rPr>
        <w:t>The projection space models the 4 physical tiers of the healthcare ledger within a continuous 3D coordinate system: (1) Paramedic Roadside Optical Scanner at (-200, 100, 0); (2) Attending Physician Biometric Gatekeeper Workstation at (180, 80, 0); (3) Hospital Edge Storage Appliance (Docker Container) at (120, -180, 0); and (4) EVM Consortium Smart Contract Ledger at (-120, -140, 60). An interactive scroll-driven timeline orchestrates continuous camera focal point interpolation and animates streaming laser-pulse data packets, visualizing the zero-knowledge token exchange, SHA-256 state matching, and forensic tamper detection in real-time.</w:t>
      </w:r>
    </w:p>
    <w:p>
      <w:r>
        <w:br w:type="page"/>
      </w:r>
    </w:p>
    <w:p>
      <w:pPr>
        <w:keepNext/>
        <w:spacing w:before="360" w:after="360"/>
        <w:jc w:val="center"/>
      </w:pPr>
      <w:r>
        <w:rPr>
          <w:rFonts w:ascii="Times New Roman" w:hAnsi="Times New Roman"/>
          <w:b/>
          <w:i w:val="0"/>
          <w:color w:val="000000"/>
          <w:sz w:val="32"/>
        </w:rPr>
        <w:t>CHAPTER 5</w:t>
        <w:br/>
        <w:t>PROJECT PLAN</w:t>
      </w:r>
    </w:p>
    <w:p>
      <w:pPr>
        <w:keepNext/>
        <w:spacing w:before="280" w:after="120"/>
        <w:jc w:val="left"/>
      </w:pPr>
      <w:r>
        <w:rPr>
          <w:rFonts w:ascii="Times New Roman" w:hAnsi="Times New Roman"/>
          <w:b/>
          <w:i w:val="0"/>
          <w:color w:val="000000"/>
          <w:sz w:val="26"/>
        </w:rPr>
        <w:t>5.1 PROJECT ESTIMATE (WORK BREAKDOWN STRUCTURE &amp; RESOURCES)</w:t>
      </w:r>
    </w:p>
    <w:p>
      <w:pPr>
        <w:spacing w:before="0" w:after="120" w:line="276" w:lineRule="auto"/>
        <w:jc w:val="both"/>
      </w:pPr>
      <w:r>
        <w:rPr>
          <w:rFonts w:ascii="Times New Roman" w:hAnsi="Times New Roman"/>
          <w:b w:val="0"/>
          <w:i w:val="0"/>
          <w:color w:val="000000"/>
          <w:sz w:val="24"/>
        </w:rPr>
        <w:t>The engineering lifecycle of MediQR was decomposed into core work packages executed across a 12-week development timeframe. Table 5.1 details the Work Breakdown Structure (WBS), allocated engineering effort, and associated project milestones.</w:t>
      </w:r>
    </w:p>
    <w:p>
      <w:pPr>
        <w:spacing w:before="0" w:after="120" w:line="276" w:lineRule="auto"/>
        <w:jc w:val="center"/>
      </w:pPr>
      <w:r>
        <w:rPr>
          <w:rFonts w:ascii="Times New Roman" w:hAnsi="Times New Roman"/>
          <w:b/>
          <w:i w:val="0"/>
          <w:color w:val="000000"/>
          <w:sz w:val="22"/>
        </w:rPr>
        <w:t>Table 5.1: Project task set, WBS allocation, and engineering effort estimates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129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Task ID</w:t>
            </w:r>
          </w:p>
        </w:tc>
        <w:tc>
          <w:tcPr>
            <w:tcW w:type="dxa" w:w="460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Work Package Description</w:t>
            </w:r>
          </w:p>
        </w:tc>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Effort (Days)</w:t>
            </w:r>
          </w:p>
        </w:tc>
        <w:tc>
          <w:tcPr>
            <w:tcW w:type="dxa" w:w="259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Key Deliverable</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T1</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Domain Analysis, Regulatory Study &amp; Statutory SRS</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10</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IEEE 830 SRS Document &amp; Security Threat Model</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T2</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Core Cryptography &amp; NIST Test Vector Validation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TypeScript Web Crypto Engine (AES-256-GCM, HMAC)</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T3</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Solidity Smart Contract &amp; Hardhat Assertion Suite</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12</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MedicalRecordLedger.sol with 14 Passing Hardhat Tests</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T4</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Dockerized Hospital Edge Storage Appliance</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10</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Containerized Express Storage Engine with Tamper API</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T5</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Dual-Segment QR Engine &amp; Paramedic Triage UI</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12</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Compact URI Compression &amp; Mobile Google Lens Interface</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T6</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Doctor Workstation &amp; Biometric Gatekeeper</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Clinical Consultation Portal with 500 DPI Fingerprint Gate</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T7</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Government Commissioning Appliance &amp; Ingestion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Hardware UUID Binding &amp; Legacy Migration Pipeline</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T8</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Integration Auditing, Benchmarking &amp; Documentation</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14</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Final Empirical Results &amp; University Project Report</w:t>
            </w:r>
          </w:p>
        </w:tc>
      </w:tr>
      <w:tr>
        <w:trPr>
          <w:cantSplit/>
        </w:trPr>
        <w:tc>
          <w:tcPr>
            <w:tcW w:type="dxa" w:w="1296"/>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T9</w:t>
            </w:r>
          </w:p>
        </w:tc>
        <w:tc>
          <w:tcPr>
            <w:tcW w:type="dxa" w:w="460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Physical Card Fabrication &amp; 3D Isometric Scrollytelling Engine</w:t>
            </w:r>
          </w:p>
        </w:tc>
        <w:tc>
          <w:tcPr>
            <w:tcW w:type="dxa" w:w="158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8</w:t>
            </w:r>
          </w:p>
        </w:tc>
        <w:tc>
          <w:tcPr>
            <w:tcW w:type="dxa" w:w="259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Dual-Sided Card Spec, /book Provisioning Portal &amp; SVG Isometric Visualizer</w:t>
            </w:r>
          </w:p>
        </w:tc>
      </w:tr>
    </w:tbl>
    <w:p>
      <w:pPr>
        <w:spacing w:before="0" w:after="120"/>
      </w:pPr>
    </w:p>
    <w:p>
      <w:pPr>
        <w:keepNext/>
        <w:spacing w:before="280" w:after="120"/>
        <w:jc w:val="left"/>
      </w:pPr>
      <w:r>
        <w:rPr>
          <w:rFonts w:ascii="Times New Roman" w:hAnsi="Times New Roman"/>
          <w:b/>
          <w:i w:val="0"/>
          <w:color w:val="000000"/>
          <w:sz w:val="26"/>
        </w:rPr>
        <w:t>5.2 RISK MANAGEMENT MATRIX &amp; MITIGATION STRATEGIES</w:t>
      </w:r>
    </w:p>
    <w:p>
      <w:pPr>
        <w:spacing w:before="0" w:after="120" w:line="276" w:lineRule="auto"/>
        <w:jc w:val="center"/>
      </w:pPr>
      <w:r>
        <w:rPr>
          <w:rFonts w:ascii="Times New Roman" w:hAnsi="Times New Roman"/>
          <w:b/>
          <w:i w:val="0"/>
          <w:color w:val="000000"/>
          <w:sz w:val="22"/>
        </w:rPr>
        <w:t>Table 5.2: Healthcare cybersecurity and deployment risk register with mitigation strategies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Risk ID</w:t>
            </w:r>
          </w:p>
        </w:tc>
        <w:tc>
          <w:tcPr>
            <w:tcW w:type="dxa" w:w="360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Identified Risk Event</w:t>
            </w:r>
          </w:p>
        </w:tc>
        <w:tc>
          <w:tcPr>
            <w:tcW w:type="dxa" w:w="129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Severity</w:t>
            </w:r>
          </w:p>
        </w:tc>
        <w:tc>
          <w:tcPr>
            <w:tcW w:type="dxa" w:w="403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Proactive Mitigation Strategy</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R1</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Optical moiré interference freezing camera sensors during emergency triage</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Critical</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Enforce ultra-compact URI compression (&lt;95 chars), capping QR density at Version 4 (33x33 matrix) [12].</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R2</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PHI data leakage on public block explorer transactions</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Critical</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Strictly enforce zero PHI on-chain; anchor only salted HMAC pseudonyms and 32-byte SHA-256 hashes [11], [15].</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R3</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Insider tampering of off-chain hospital archive records</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Implement client-side hash verification against on-chain smart contract wax seals before permitting record rendering [8].</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R4</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Physician workstation credential abandonment and impersonation</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High</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Bind clinical session tokens to reactive optical biometric fingerprint verification, locking keys upon timeout [7].</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R5</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Physical keycard destruction under extreme vehicular impact or fire</w:t>
            </w:r>
          </w:p>
        </w:tc>
        <w:tc>
          <w:tcPr>
            <w:tcW w:type="dxa" w:w="129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Medium</w:t>
            </w:r>
          </w:p>
        </w:tc>
        <w:tc>
          <w:tcPr>
            <w:tcW w:type="dxa" w:w="403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Fabricate physical smart keycards from aerospace-grade titanium polycarbonate composites thermally rated up to 850°C [12].</w:t>
            </w:r>
          </w:p>
        </w:tc>
      </w:tr>
    </w:tbl>
    <w:p>
      <w:pPr>
        <w:spacing w:before="0" w:after="120"/>
      </w:pPr>
    </w:p>
    <w:p>
      <w:pPr>
        <w:keepNext/>
        <w:spacing w:before="280" w:after="120"/>
        <w:jc w:val="left"/>
      </w:pPr>
      <w:r>
        <w:rPr>
          <w:rFonts w:ascii="Times New Roman" w:hAnsi="Times New Roman"/>
          <w:b/>
          <w:i w:val="0"/>
          <w:color w:val="000000"/>
          <w:sz w:val="26"/>
        </w:rPr>
        <w:t>5.3 PROJECT SCHEDULE (12-WEEK GANTT CHART)</w:t>
      </w:r>
    </w:p>
    <w:p>
      <w:pPr>
        <w:spacing w:before="0" w:after="120" w:line="276" w:lineRule="auto"/>
        <w:jc w:val="both"/>
      </w:pPr>
      <w:r>
        <w:rPr>
          <w:rFonts w:ascii="Times New Roman" w:hAnsi="Times New Roman"/>
          <w:b w:val="0"/>
          <w:i w:val="0"/>
          <w:color w:val="000000"/>
          <w:sz w:val="24"/>
        </w:rPr>
        <w:t>Figure 5.1 depicts the 12-week project schedule, illustrating task concurrency, dependencies, and critical milestones across the development lifecycle.</w:t>
      </w:r>
    </w:p>
    <w:p>
      <w:pPr>
        <w:spacing w:before="160" w:after="80"/>
        <w:jc w:val="center"/>
      </w:pPr>
      <w:r>
        <w:drawing>
          <wp:inline xmlns:a="http://schemas.openxmlformats.org/drawingml/2006/main" xmlns:pic="http://schemas.openxmlformats.org/drawingml/2006/picture">
            <wp:extent cx="5120640" cy="2560320"/>
            <wp:docPr id="14" name="Picture 14"/>
            <wp:cNvGraphicFramePr>
              <a:graphicFrameLocks noChangeAspect="1"/>
            </wp:cNvGraphicFramePr>
            <a:graphic>
              <a:graphicData uri="http://schemas.openxmlformats.org/drawingml/2006/picture">
                <pic:pic>
                  <pic:nvPicPr>
                    <pic:cNvPr id="0" name="Figure 5.1 Project timeline Gantt chart.png"/>
                    <pic:cNvPicPr/>
                  </pic:nvPicPr>
                  <pic:blipFill>
                    <a:blip r:embed="rId23"/>
                    <a:stretch>
                      <a:fillRect/>
                    </a:stretch>
                  </pic:blipFill>
                  <pic:spPr>
                    <a:xfrm>
                      <a:off x="0" y="0"/>
                      <a:ext cx="5120640" cy="2560320"/>
                    </a:xfrm>
                    <a:prstGeom prst="rect"/>
                  </pic:spPr>
                </pic:pic>
              </a:graphicData>
            </a:graphic>
          </wp:inline>
        </w:drawing>
      </w:r>
    </w:p>
    <w:p>
      <w:pPr>
        <w:spacing w:before="80" w:after="240"/>
        <w:jc w:val="center"/>
      </w:pPr>
      <w:r>
        <w:rPr>
          <w:rFonts w:ascii="Times New Roman" w:hAnsi="Times New Roman"/>
          <w:b/>
          <w:i w:val="0"/>
          <w:color w:val="000000"/>
          <w:sz w:val="22"/>
        </w:rPr>
        <w:t xml:space="preserve">Fig. 5.1: </w:t>
      </w:r>
      <w:r>
        <w:rPr>
          <w:rFonts w:ascii="Times New Roman" w:hAnsi="Times New Roman"/>
          <w:b w:val="0"/>
          <w:i/>
          <w:color w:val="000000"/>
          <w:sz w:val="22"/>
        </w:rPr>
        <w:t>Project timeline (12-week Gantt chart &amp; critical path milestone schedule)</w:t>
      </w:r>
      <w:r>
        <w:rPr>
          <w:rFonts w:ascii="Times New Roman" w:hAnsi="Times New Roman"/>
          <w:b/>
          <w:i w:val="0"/>
          <w:color w:val="000000"/>
          <w:sz w:val="22"/>
        </w:rPr>
        <w:t xml:space="preserve"> [8], [9]</w:t>
      </w:r>
    </w:p>
    <w:p>
      <w:pPr>
        <w:keepNext/>
        <w:spacing w:before="280" w:after="120"/>
        <w:jc w:val="left"/>
      </w:pPr>
      <w:r>
        <w:rPr>
          <w:rFonts w:ascii="Times New Roman" w:hAnsi="Times New Roman"/>
          <w:b/>
          <w:i w:val="0"/>
          <w:color w:val="000000"/>
          <w:sz w:val="26"/>
        </w:rPr>
        <w:t>5.4 TEAM ORGANIZATION &amp; RESPONSIBILITY ASSIGNMENT MATRIX</w:t>
      </w:r>
    </w:p>
    <w:p>
      <w:pPr>
        <w:pStyle w:val="ListBullet"/>
        <w:spacing w:before="0" w:after="80" w:line="276" w:lineRule="auto"/>
      </w:pPr>
      <w:r>
        <w:rPr>
          <w:rFonts w:ascii="Times New Roman" w:hAnsi="Times New Roman"/>
          <w:b/>
          <w:i w:val="0"/>
          <w:color w:val="000000"/>
          <w:sz w:val="24"/>
        </w:rPr>
        <w:t xml:space="preserve">Sakshi D. Thombare (Exam No: 23025331242087): </w:t>
      </w:r>
      <w:r>
        <w:rPr>
          <w:rFonts w:ascii="Times New Roman" w:hAnsi="Times New Roman"/>
          <w:b w:val="0"/>
          <w:i w:val="0"/>
          <w:color w:val="000000"/>
          <w:sz w:val="24"/>
        </w:rPr>
        <w:t>Lead Systems Architect &amp; Cryptographic Engineer. Responsible for TypeScript cryptographic primitives, Web Crypto API AES-256-GCM integration, compact QR compression algorithms, and emergency triage frontend development.</w:t>
      </w:r>
    </w:p>
    <w:p>
      <w:pPr>
        <w:pStyle w:val="ListBullet"/>
        <w:spacing w:before="0" w:after="80" w:line="276" w:lineRule="auto"/>
      </w:pPr>
      <w:r>
        <w:rPr>
          <w:rFonts w:ascii="Times New Roman" w:hAnsi="Times New Roman"/>
          <w:b/>
          <w:i w:val="0"/>
          <w:color w:val="000000"/>
          <w:sz w:val="24"/>
        </w:rPr>
        <w:t xml:space="preserve">Pushpak M. Jaiswal (Exam No: 23025331242099): </w:t>
      </w:r>
      <w:r>
        <w:rPr>
          <w:rFonts w:ascii="Times New Roman" w:hAnsi="Times New Roman"/>
          <w:b w:val="0"/>
          <w:i w:val="0"/>
          <w:color w:val="000000"/>
          <w:sz w:val="24"/>
        </w:rPr>
        <w:t>Smart Contract Engineer &amp; Backend Systems Architect. Responsible for Solidity MedicalRecordLedger.sol development, Hardhat test suites, Docker hospital storage appliances, government commissioning console, and /book provisioning portal.</w:t>
      </w:r>
    </w:p>
    <w:p>
      <w:r>
        <w:br w:type="page"/>
      </w:r>
    </w:p>
    <w:p>
      <w:pPr>
        <w:keepNext/>
        <w:spacing w:before="360" w:after="360"/>
        <w:jc w:val="center"/>
      </w:pPr>
      <w:r>
        <w:rPr>
          <w:rFonts w:ascii="Times New Roman" w:hAnsi="Times New Roman"/>
          <w:b/>
          <w:i w:val="0"/>
          <w:color w:val="000000"/>
          <w:sz w:val="32"/>
        </w:rPr>
        <w:t>CHAPTER 6</w:t>
        <w:br/>
        <w:t>PROJECT IMPLEMENTATION</w:t>
      </w:r>
    </w:p>
    <w:p>
      <w:pPr>
        <w:keepNext/>
        <w:spacing w:before="280" w:after="120"/>
        <w:jc w:val="left"/>
      </w:pPr>
      <w:r>
        <w:rPr>
          <w:rFonts w:ascii="Times New Roman" w:hAnsi="Times New Roman"/>
          <w:b/>
          <w:i w:val="0"/>
          <w:color w:val="000000"/>
          <w:sz w:val="26"/>
        </w:rPr>
        <w:t>6.1 OVERVIEW OF MEDIQR SUBSYSTEM MODULES</w:t>
      </w:r>
    </w:p>
    <w:p>
      <w:pPr>
        <w:spacing w:before="0" w:after="120" w:line="276" w:lineRule="auto"/>
        <w:jc w:val="both"/>
      </w:pPr>
      <w:r>
        <w:rPr>
          <w:rFonts w:ascii="Times New Roman" w:hAnsi="Times New Roman"/>
          <w:b w:val="0"/>
          <w:i w:val="0"/>
          <w:color w:val="000000"/>
          <w:sz w:val="24"/>
        </w:rPr>
        <w:t>The production codebase of MediQR is structured into modular subsystems developed in TypeScript, React/Next.js 14, and Solidity 0.8.28: (1) Core Cryptography Engine (src/lib/crypto.ts); (2) Smart Contract Ledger (contracts/MedicalRecordLedger.sol); (3) Hospital Edge Storage Appliance (hospital-storage/server.js); (4) Emergency Triage Portal (doctor-portal/src/app/emergency/page.tsx); (5) Doctor Clinical Console (doctor-portal/src/app/doctor/page.tsx); (6) Interactive 3D Isometric Projection Engine (doctor-portal/src/components/IsometricStage.tsx); and (7) Citizen Card Provisioning &amp; Appointment Booking Portal (doctor-portal/src/app/book/page.tsx) [11], [14].</w:t>
      </w:r>
    </w:p>
    <w:p>
      <w:pPr>
        <w:keepNext/>
        <w:spacing w:before="280" w:after="120"/>
        <w:jc w:val="left"/>
      </w:pPr>
      <w:r>
        <w:rPr>
          <w:rFonts w:ascii="Times New Roman" w:hAnsi="Times New Roman"/>
          <w:b/>
          <w:i w:val="0"/>
          <w:color w:val="000000"/>
          <w:sz w:val="26"/>
        </w:rPr>
        <w:t>6.2 TOOLS, LIBRARIES, AND TECHNOLOGY STACK</w:t>
      </w:r>
    </w:p>
    <w:p>
      <w:pPr>
        <w:pStyle w:val="ListBullet"/>
        <w:spacing w:before="0" w:after="80" w:line="276" w:lineRule="auto"/>
      </w:pPr>
      <w:r>
        <w:rPr>
          <w:rFonts w:ascii="Times New Roman" w:hAnsi="Times New Roman"/>
          <w:b/>
          <w:i w:val="0"/>
          <w:color w:val="000000"/>
          <w:sz w:val="24"/>
        </w:rPr>
        <w:t xml:space="preserve">Next.js 14 &amp; React: </w:t>
      </w:r>
      <w:r>
        <w:rPr>
          <w:rFonts w:ascii="Times New Roman" w:hAnsi="Times New Roman"/>
          <w:b w:val="0"/>
          <w:i w:val="0"/>
          <w:color w:val="000000"/>
          <w:sz w:val="24"/>
        </w:rPr>
        <w:t>App Router, Server Components, and responsive Tailwind CSS for reactive clinical rendering.</w:t>
      </w:r>
    </w:p>
    <w:p>
      <w:pPr>
        <w:pStyle w:val="ListBullet"/>
        <w:spacing w:before="0" w:after="80" w:line="276" w:lineRule="auto"/>
      </w:pPr>
      <w:r>
        <w:rPr>
          <w:rFonts w:ascii="Times New Roman" w:hAnsi="Times New Roman"/>
          <w:b/>
          <w:i w:val="0"/>
          <w:color w:val="000000"/>
          <w:sz w:val="24"/>
        </w:rPr>
        <w:t xml:space="preserve">Web Crypto API: </w:t>
      </w:r>
      <w:r>
        <w:rPr>
          <w:rFonts w:ascii="Times New Roman" w:hAnsi="Times New Roman"/>
          <w:b w:val="0"/>
          <w:i w:val="0"/>
          <w:color w:val="000000"/>
          <w:sz w:val="24"/>
        </w:rPr>
        <w:t>Native W3C browser cryptographic interface for hardware-accelerated AES-GCM and SHA-256 [11].</w:t>
      </w:r>
    </w:p>
    <w:p>
      <w:pPr>
        <w:pStyle w:val="ListBullet"/>
        <w:spacing w:before="0" w:after="80" w:line="276" w:lineRule="auto"/>
      </w:pPr>
      <w:r>
        <w:rPr>
          <w:rFonts w:ascii="Times New Roman" w:hAnsi="Times New Roman"/>
          <w:b/>
          <w:i w:val="0"/>
          <w:color w:val="000000"/>
          <w:sz w:val="24"/>
        </w:rPr>
        <w:t xml:space="preserve">Ethers.js v6: </w:t>
      </w:r>
      <w:r>
        <w:rPr>
          <w:rFonts w:ascii="Times New Roman" w:hAnsi="Times New Roman"/>
          <w:b w:val="0"/>
          <w:i w:val="0"/>
          <w:color w:val="000000"/>
          <w:sz w:val="24"/>
        </w:rPr>
        <w:t>JSON-RPC client for interacting with EVM smart contracts and signing transactions.</w:t>
      </w:r>
    </w:p>
    <w:p>
      <w:pPr>
        <w:pStyle w:val="ListBullet"/>
        <w:spacing w:before="0" w:after="80" w:line="276" w:lineRule="auto"/>
      </w:pPr>
      <w:r>
        <w:rPr>
          <w:rFonts w:ascii="Times New Roman" w:hAnsi="Times New Roman"/>
          <w:b/>
          <w:i w:val="0"/>
          <w:color w:val="000000"/>
          <w:sz w:val="24"/>
        </w:rPr>
        <w:t xml:space="preserve">Solidity 0.8.28: </w:t>
      </w:r>
      <w:r>
        <w:rPr>
          <w:rFonts w:ascii="Times New Roman" w:hAnsi="Times New Roman"/>
          <w:b w:val="0"/>
          <w:i w:val="0"/>
          <w:color w:val="000000"/>
          <w:sz w:val="24"/>
        </w:rPr>
        <w:t>Object-oriented, statically typed language for consortium ledger contracts.</w:t>
      </w:r>
    </w:p>
    <w:p>
      <w:pPr>
        <w:pStyle w:val="ListBullet"/>
        <w:spacing w:before="0" w:after="80" w:line="276" w:lineRule="auto"/>
      </w:pPr>
      <w:r>
        <w:rPr>
          <w:rFonts w:ascii="Times New Roman" w:hAnsi="Times New Roman"/>
          <w:b/>
          <w:i w:val="0"/>
          <w:color w:val="000000"/>
          <w:sz w:val="24"/>
        </w:rPr>
        <w:t xml:space="preserve">Hardhat: </w:t>
      </w:r>
      <w:r>
        <w:rPr>
          <w:rFonts w:ascii="Times New Roman" w:hAnsi="Times New Roman"/>
          <w:b w:val="0"/>
          <w:i w:val="0"/>
          <w:color w:val="000000"/>
          <w:sz w:val="24"/>
        </w:rPr>
        <w:t>Ethereum development environment for contract compilation, gas benchmarking, and automated testing.</w:t>
      </w:r>
    </w:p>
    <w:p>
      <w:pPr>
        <w:pStyle w:val="ListBullet"/>
        <w:spacing w:before="0" w:after="80" w:line="276" w:lineRule="auto"/>
      </w:pPr>
      <w:r>
        <w:rPr>
          <w:rFonts w:ascii="Times New Roman" w:hAnsi="Times New Roman"/>
          <w:b/>
          <w:i w:val="0"/>
          <w:color w:val="000000"/>
          <w:sz w:val="24"/>
        </w:rPr>
        <w:t xml:space="preserve">Docker Engine: </w:t>
      </w:r>
      <w:r>
        <w:rPr>
          <w:rFonts w:ascii="Times New Roman" w:hAnsi="Times New Roman"/>
          <w:b w:val="0"/>
          <w:i w:val="0"/>
          <w:color w:val="000000"/>
          <w:sz w:val="24"/>
        </w:rPr>
        <w:t>Container runtime isolating hospital on-premise storage engines.</w:t>
      </w:r>
    </w:p>
    <w:p>
      <w:pPr>
        <w:pStyle w:val="ListBullet"/>
        <w:spacing w:before="0" w:after="80" w:line="276" w:lineRule="auto"/>
      </w:pPr>
      <w:r>
        <w:rPr>
          <w:rFonts w:ascii="Times New Roman" w:hAnsi="Times New Roman"/>
          <w:b/>
          <w:i w:val="0"/>
          <w:color w:val="000000"/>
          <w:sz w:val="24"/>
        </w:rPr>
        <w:t xml:space="preserve">Lucide-React &amp; SVG: </w:t>
      </w:r>
      <w:r>
        <w:rPr>
          <w:rFonts w:ascii="Times New Roman" w:hAnsi="Times New Roman"/>
          <w:b w:val="0"/>
          <w:i w:val="0"/>
          <w:color w:val="000000"/>
          <w:sz w:val="24"/>
        </w:rPr>
        <w:t>Clean vector symbology for clinical dashboards and pure mathematical 3D isometric rendering.</w:t>
      </w:r>
    </w:p>
    <w:p>
      <w:pPr>
        <w:keepNext/>
        <w:spacing w:before="280" w:after="120"/>
        <w:jc w:val="left"/>
      </w:pPr>
      <w:r>
        <w:rPr>
          <w:rFonts w:ascii="Times New Roman" w:hAnsi="Times New Roman"/>
          <w:b/>
          <w:i w:val="0"/>
          <w:color w:val="000000"/>
          <w:sz w:val="26"/>
        </w:rPr>
        <w:t>6.3 ALGORITHM FORMULATIONS &amp; ON-CHAIN GAS BENCHMARK</w:t>
      </w:r>
    </w:p>
    <w:p>
      <w:pPr>
        <w:spacing w:before="0" w:after="120" w:line="276" w:lineRule="auto"/>
        <w:jc w:val="both"/>
      </w:pPr>
      <w:r>
        <w:rPr>
          <w:rFonts w:ascii="Times New Roman" w:hAnsi="Times New Roman"/>
          <w:b w:val="0"/>
          <w:i w:val="0"/>
          <w:color w:val="000000"/>
          <w:sz w:val="24"/>
        </w:rPr>
        <w:t>Algorithm 6.1 outlines the client-side AES-256-GCM encryption and on-chain fingerprint anchoring workflow executed whenever a doctor commits a clinical consultation record [11]:</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000"/>
      </w:tblGrid>
      <w:tr>
        <w:tc>
          <w:tcPr>
            <w:tcW w:type="dxa" w:w="8640"/>
            <w:shd w:fill="F2F4F7"/>
            <w:tcMar>
              <w:top w:w="100" w:type="dxa"/>
              <w:bottom w:w="100" w:type="dxa"/>
              <w:left w:w="140" w:type="dxa"/>
              <w:right w:w="140" w:type="dxa"/>
            </w:tcMar>
          </w:tcPr>
          <w:p>
            <w:pPr>
              <w:spacing w:before="40" w:after="40"/>
              <w:jc w:val="left"/>
            </w:pPr>
            <w:r>
              <w:rPr>
                <w:rFonts w:ascii="Consolas" w:hAnsi="Consolas"/>
                <w:b w:val="0"/>
                <w:i w:val="0"/>
                <w:color w:val="141414"/>
                <w:sz w:val="18"/>
              </w:rPr>
              <w:t>Algorithm 6.1: Client-Side Record Encryption and On-Chain Anchoring</w:t>
              <w:br/>
              <w:t>Input:  Clinical Record Payload M, Patient Token Tp, Passphrase P</w:t>
              <w:br/>
              <w:t>Output: Anchored Transaction Hash TxHash, Stored Payload URI</w:t>
              <w:br/>
              <w:br/>
              <w:t>1. KeyDerivation: Kenc &lt;- PBKDF2(P, Salt=Tp, Iterations=100000, KeyLength=256)</w:t>
              <w:br/>
              <w:t>2. IVGeneration:  IV &lt;- CryptographicRandomBytes(12)  // 96-bit NIST IV</w:t>
              <w:br/>
              <w:t>3. AuthenticatedEncrypt:</w:t>
              <w:br/>
              <w:t xml:space="preserve">      (Ciphertext C, Tag T) &lt;- AES-256-GCM_Encrypt(Kenc, IV, M)</w:t>
              <w:br/>
              <w:t>4. PackagePayload:</w:t>
              <w:br/>
              <w:t xml:space="preserve">      EncPackage &lt;- JSON.stringify({ cipher: Base64(C), iv: Hex(IV), tag: Hex(T) })</w:t>
              <w:br/>
              <w:t>5. ComputeDigest:</w:t>
              <w:br/>
              <w:t xml:space="preserve">      Digest &lt;- SHA-256(EncPackage)  // 32-byte cryptographic wax seal</w:t>
              <w:br/>
              <w:t>6. StoreAppliance:</w:t>
              <w:br/>
              <w:t xml:space="preserve">      URI &lt;- HTTP_POST("http://hospital-appliance:5001/api/records", EncPackage)</w:t>
              <w:br/>
              <w:t>7. AnchorLedger:</w:t>
              <w:br/>
              <w:t xml:space="preserve">      TxReceipt &lt;- Contract.addRecord(Tp, Digest, URI, "ClinicalConsultation")</w:t>
              <w:br/>
              <w:t>8. return TxReceipt.transactionHash, URI</w:t>
            </w:r>
          </w:p>
        </w:tc>
      </w:tr>
    </w:tbl>
    <w:p>
      <w:pPr>
        <w:spacing w:after="120"/>
      </w:pPr>
    </w:p>
    <w:p>
      <w:pPr>
        <w:spacing w:before="0" w:after="120" w:line="276" w:lineRule="auto"/>
        <w:jc w:val="both"/>
      </w:pPr>
      <w:r>
        <w:rPr>
          <w:rFonts w:ascii="Times New Roman" w:hAnsi="Times New Roman"/>
          <w:b w:val="0"/>
          <w:i w:val="0"/>
          <w:color w:val="000000"/>
          <w:sz w:val="24"/>
        </w:rPr>
        <w:t>Table 6.1 summarizes on-chain gas consumption measured across core smart contract operations on the EVM testnet [1], [2]:</w:t>
      </w:r>
    </w:p>
    <w:p>
      <w:pPr>
        <w:spacing w:before="0" w:after="120" w:line="276" w:lineRule="auto"/>
        <w:jc w:val="center"/>
      </w:pPr>
      <w:r>
        <w:rPr>
          <w:rFonts w:ascii="Times New Roman" w:hAnsi="Times New Roman"/>
          <w:b/>
          <w:i w:val="0"/>
          <w:color w:val="000000"/>
          <w:sz w:val="22"/>
        </w:rPr>
        <w:t>Table 6.1: On-chain gas consumption and cryptographic execution latency reference</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30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Smart Contract Operation</w:t>
            </w:r>
          </w:p>
        </w:tc>
        <w:tc>
          <w:tcPr>
            <w:tcW w:type="dxa" w:w="187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Execution Gas</w:t>
            </w:r>
          </w:p>
        </w:tc>
        <w:tc>
          <w:tcPr>
            <w:tcW w:type="dxa" w:w="331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State Mutability</w:t>
            </w:r>
          </w:p>
        </w:tc>
        <w:tc>
          <w:tcPr>
            <w:tcW w:type="dxa" w:w="187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Execution Latency</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onboardHospital()</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68,420</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Writes Hospital Struct &amp; Mapping</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12 ms (instant devnet)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registerDoctor()</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84,115</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Enrolls Doctor Wallet &amp; License</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14 ms (instant devnet)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addRecord() (Anchoring)</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92,640</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Appends 32-byte SHA-256 Record Hash</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15 ms (instant devnet)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getPatientRecords()</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(Free call)</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View call, reads record pointer array</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3 ms (zero gas)</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suspendHospital()</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28,310</w:t>
            </w:r>
          </w:p>
        </w:tc>
        <w:tc>
          <w:tcPr>
            <w:tcW w:type="dxa" w:w="331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Cascading revocation of all hospital doctors</w:t>
            </w:r>
          </w:p>
        </w:tc>
        <w:tc>
          <w:tcPr>
            <w:tcW w:type="dxa" w:w="1872"/>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8 ms (instant devnet)</w:t>
            </w:r>
          </w:p>
        </w:tc>
      </w:tr>
    </w:tbl>
    <w:p>
      <w:pPr>
        <w:spacing w:before="0" w:after="120"/>
      </w:pPr>
    </w:p>
    <w:p>
      <w:pPr>
        <w:keepNext/>
        <w:spacing w:before="280" w:after="120"/>
        <w:jc w:val="left"/>
      </w:pPr>
      <w:r>
        <w:rPr>
          <w:rFonts w:ascii="Times New Roman" w:hAnsi="Times New Roman"/>
          <w:b/>
          <w:i w:val="0"/>
          <w:color w:val="000000"/>
          <w:sz w:val="26"/>
        </w:rPr>
        <w:t>6.4 PHYSICAL SMART CARD ARTIFACT ENGINEERING &amp; NFC DUAL-SEGMENT INTEGRATION</w:t>
      </w:r>
    </w:p>
    <w:p>
      <w:pPr>
        <w:spacing w:before="0" w:after="120" w:line="276" w:lineRule="auto"/>
        <w:jc w:val="both"/>
      </w:pPr>
      <w:r>
        <w:rPr>
          <w:rFonts w:ascii="Times New Roman" w:hAnsi="Times New Roman"/>
          <w:b w:val="0"/>
          <w:i w:val="0"/>
          <w:color w:val="000000"/>
          <w:sz w:val="24"/>
        </w:rPr>
        <w:t>A cornerstone innovation of MediQR is the realization of a dual-segment physical medical keycard engineered to ISO/IEC 7810 ID-1 standard dimensions (85.60 mm × 53.98 mm × 0.76 mm). In high-impact vehicular collisions, electronic mobile devices frequently suffer battery depletion, screen fragmentation, or catastrophic failure. To guarantee life-critical triage availability without battery reliance, the MediQR smart card artifact is fabricated from aerospace-grade titanium-infused polycarbonate, thermally rated to withstand acute temperatures up to 850°C in post-collision fires.</w:t>
      </w:r>
    </w:p>
    <w:p>
      <w:pPr>
        <w:spacing w:before="0" w:after="120" w:line="276" w:lineRule="auto"/>
        <w:jc w:val="both"/>
      </w:pPr>
      <w:r>
        <w:rPr>
          <w:rFonts w:ascii="Times New Roman" w:hAnsi="Times New Roman"/>
          <w:b w:val="0"/>
          <w:i w:val="0"/>
          <w:color w:val="000000"/>
          <w:sz w:val="24"/>
        </w:rPr>
        <w:t>The physical artifact implements a bifurcated security architecture across its two faces:</w:t>
      </w:r>
    </w:p>
    <w:p>
      <w:pPr>
        <w:pStyle w:val="ListBullet"/>
        <w:spacing w:before="0" w:after="80" w:line="276" w:lineRule="auto"/>
      </w:pPr>
      <w:r>
        <w:rPr>
          <w:rFonts w:ascii="Times New Roman" w:hAnsi="Times New Roman"/>
          <w:b/>
          <w:i w:val="0"/>
          <w:color w:val="000000"/>
          <w:sz w:val="24"/>
        </w:rPr>
        <w:t xml:space="preserve">Front Face (Clinical Identification &amp; Contactless NFC): </w:t>
      </w:r>
      <w:r>
        <w:rPr>
          <w:rFonts w:ascii="Times New Roman" w:hAnsi="Times New Roman"/>
          <w:b w:val="0"/>
          <w:i w:val="0"/>
          <w:color w:val="000000"/>
          <w:sz w:val="24"/>
        </w:rPr>
        <w:t>Features high-contrast institutional branding, physician/patient portrait identification, national ABHA/UID pseudonym, bold blood group designation (e.g., O-Negative), severe drug allergy warning, and an embedded passive NTAG216 NFC antenna coil (13.56 MHz, ISO/IEC 14443-A). When presented to an attending physician's clinical terminal, the passive chip transmits the patient's cryptographic query token via near-field induction without battery power.</w:t>
      </w:r>
    </w:p>
    <w:p>
      <w:pPr>
        <w:pStyle w:val="ListBullet"/>
        <w:spacing w:before="0" w:after="80" w:line="276" w:lineRule="auto"/>
      </w:pPr>
      <w:r>
        <w:rPr>
          <w:rFonts w:ascii="Times New Roman" w:hAnsi="Times New Roman"/>
          <w:b/>
          <w:i w:val="0"/>
          <w:color w:val="000000"/>
          <w:sz w:val="24"/>
        </w:rPr>
        <w:t xml:space="preserve">Back Face (Roadside Emergency Optical Matrix): </w:t>
      </w:r>
      <w:r>
        <w:rPr>
          <w:rFonts w:ascii="Times New Roman" w:hAnsi="Times New Roman"/>
          <w:b w:val="0"/>
          <w:i w:val="0"/>
          <w:color w:val="000000"/>
          <w:sz w:val="24"/>
        </w:rPr>
        <w:t>Features an ultra-high contrast Version 4 (33x33 matrix) chunky QR code encoding under 95 characters of compressed URI triage parameters (?b=...&amp;n=...&amp;a=...), an anaphylactic allergen warning badge, emergency ICE contact phone pointer, and the issuing consortium hospital's cryptographic digital wax seal. Paramedics can scan the matrix in sub-1.5 seconds under direct sunlight using standard smartphone cameras.</w:t>
      </w:r>
    </w:p>
    <w:p>
      <w:pPr>
        <w:keepNext/>
        <w:spacing w:before="280" w:after="120"/>
        <w:jc w:val="left"/>
      </w:pPr>
      <w:r>
        <w:rPr>
          <w:rFonts w:ascii="Times New Roman" w:hAnsi="Times New Roman"/>
          <w:b/>
          <w:i w:val="0"/>
          <w:color w:val="000000"/>
          <w:sz w:val="26"/>
        </w:rPr>
        <w:t>6.5 SMART CARD ON-CHAIN PROVISIONING &amp; APPOINTMENT BOOKING PORTAL (/BOOK)</w:t>
      </w:r>
    </w:p>
    <w:p>
      <w:pPr>
        <w:spacing w:before="0" w:after="120" w:line="276" w:lineRule="auto"/>
        <w:jc w:val="both"/>
      </w:pPr>
      <w:r>
        <w:rPr>
          <w:rFonts w:ascii="Times New Roman" w:hAnsi="Times New Roman"/>
          <w:b w:val="0"/>
          <w:i w:val="0"/>
          <w:color w:val="000000"/>
          <w:sz w:val="24"/>
        </w:rPr>
        <w:t>To operationalize citizen onboarding and physical card issuance, MediQR implements an enterprise appointment booking and card provisioning subsystem at the /book route. The workflow transitions across four deterministic stages:</w:t>
      </w:r>
    </w:p>
    <w:p>
      <w:pPr>
        <w:pStyle w:val="ListBullet"/>
        <w:spacing w:before="0" w:after="80" w:line="276" w:lineRule="auto"/>
      </w:pPr>
      <w:r>
        <w:rPr>
          <w:rFonts w:ascii="Times New Roman" w:hAnsi="Times New Roman"/>
          <w:b/>
          <w:i w:val="0"/>
          <w:color w:val="000000"/>
          <w:sz w:val="24"/>
        </w:rPr>
        <w:t xml:space="preserve">Step 1: Patient Demographic &amp; Emergency Vitals Intake: </w:t>
      </w:r>
      <w:r>
        <w:rPr>
          <w:rFonts w:ascii="Times New Roman" w:hAnsi="Times New Roman"/>
          <w:b w:val="0"/>
          <w:i w:val="0"/>
          <w:color w:val="000000"/>
          <w:sz w:val="24"/>
        </w:rPr>
        <w:t>Captures verified patient identity, blood type, anaphylactic drug allergies (e.g., Penicillin G, Aspirin), chronic conditions, and emergency ICE contacts.</w:t>
      </w:r>
    </w:p>
    <w:p>
      <w:pPr>
        <w:pStyle w:val="ListBullet"/>
        <w:spacing w:before="0" w:after="80" w:line="276" w:lineRule="auto"/>
      </w:pPr>
      <w:r>
        <w:rPr>
          <w:rFonts w:ascii="Times New Roman" w:hAnsi="Times New Roman"/>
          <w:b/>
          <w:i w:val="0"/>
          <w:color w:val="000000"/>
          <w:sz w:val="24"/>
        </w:rPr>
        <w:t xml:space="preserve">Step 2: Consortium Vault &amp; Physician Selection: </w:t>
      </w:r>
      <w:r>
        <w:rPr>
          <w:rFonts w:ascii="Times New Roman" w:hAnsi="Times New Roman"/>
          <w:b w:val="0"/>
          <w:i w:val="0"/>
          <w:color w:val="000000"/>
          <w:sz w:val="24"/>
        </w:rPr>
        <w:t>The citizen selects their primary accredited healthcare institution (e.g., Apollo Hospitals, Fortis Healthcare) and authorized attending specialist, ensuring data localization within the chosen hospital edge appliance.</w:t>
      </w:r>
    </w:p>
    <w:p>
      <w:pPr>
        <w:pStyle w:val="ListBullet"/>
        <w:spacing w:before="0" w:after="80" w:line="276" w:lineRule="auto"/>
      </w:pPr>
      <w:r>
        <w:rPr>
          <w:rFonts w:ascii="Times New Roman" w:hAnsi="Times New Roman"/>
          <w:b/>
          <w:i w:val="0"/>
          <w:color w:val="000000"/>
          <w:sz w:val="24"/>
        </w:rPr>
        <w:t xml:space="preserve">Step 3: Consultation &amp; Anchoring Fee Settlement: </w:t>
      </w:r>
      <w:r>
        <w:rPr>
          <w:rFonts w:ascii="Times New Roman" w:hAnsi="Times New Roman"/>
          <w:b w:val="0"/>
          <w:i w:val="0"/>
          <w:color w:val="000000"/>
          <w:sz w:val="24"/>
        </w:rPr>
        <w:t>Calculates zero-gas consortium transaction parameters and records the patient onboarding authorization.</w:t>
      </w:r>
    </w:p>
    <w:p>
      <w:pPr>
        <w:pStyle w:val="ListBullet"/>
        <w:spacing w:before="0" w:after="80" w:line="276" w:lineRule="auto"/>
      </w:pPr>
      <w:r>
        <w:rPr>
          <w:rFonts w:ascii="Times New Roman" w:hAnsi="Times New Roman"/>
          <w:b/>
          <w:i w:val="0"/>
          <w:color w:val="000000"/>
          <w:sz w:val="24"/>
        </w:rPr>
        <w:t xml:space="preserve">Step 4: Deterministic Card Issuance &amp; Block Mining: </w:t>
      </w:r>
      <w:r>
        <w:rPr>
          <w:rFonts w:ascii="Times New Roman" w:hAnsi="Times New Roman"/>
          <w:b w:val="0"/>
          <w:i w:val="0"/>
          <w:color w:val="000000"/>
          <w:sz w:val="24"/>
        </w:rPr>
        <w:t>Executes local consortium block mining (mineNewBlock), derives the salted HMAC-SHA256 patient token, renders the physical dual-sided card preview, and dispatches cryptographic confirmation notifications.</w:t>
      </w:r>
    </w:p>
    <w:p>
      <w:r>
        <w:br w:type="page"/>
      </w:r>
    </w:p>
    <w:p>
      <w:pPr>
        <w:keepNext/>
        <w:spacing w:before="360" w:after="360"/>
        <w:jc w:val="center"/>
      </w:pPr>
      <w:r>
        <w:rPr>
          <w:rFonts w:ascii="Times New Roman" w:hAnsi="Times New Roman"/>
          <w:b/>
          <w:i w:val="0"/>
          <w:color w:val="000000"/>
          <w:sz w:val="32"/>
        </w:rPr>
        <w:t>CHAPTER 7</w:t>
        <w:br/>
        <w:t>SOFTWARE TESTING</w:t>
      </w:r>
    </w:p>
    <w:p>
      <w:pPr>
        <w:keepNext/>
        <w:spacing w:before="280" w:after="120"/>
        <w:jc w:val="left"/>
      </w:pPr>
      <w:r>
        <w:rPr>
          <w:rFonts w:ascii="Times New Roman" w:hAnsi="Times New Roman"/>
          <w:b/>
          <w:i w:val="0"/>
          <w:color w:val="000000"/>
          <w:sz w:val="26"/>
        </w:rPr>
        <w:t>7.1 TESTING METHODOLOGIES &amp; VERIFICATION STRATEGY</w:t>
      </w:r>
    </w:p>
    <w:p>
      <w:pPr>
        <w:spacing w:before="0" w:after="120" w:line="276" w:lineRule="auto"/>
        <w:jc w:val="both"/>
      </w:pPr>
      <w:r>
        <w:rPr>
          <w:rFonts w:ascii="Times New Roman" w:hAnsi="Times New Roman"/>
          <w:b w:val="0"/>
          <w:i w:val="0"/>
          <w:color w:val="000000"/>
          <w:sz w:val="24"/>
        </w:rPr>
        <w:t>Testing for MediQR was structured around a rigorous multi-tier verification strategy: (1) Unit Testing of pure cryptographic functions against published NIST CAVP test vectors; (2) Smart Contract Automated Testing exercising all RBAC modifiers and failure reverts using Hardhat; (3) Integration Testing verifying end-to-end data flow between hospital storage nodes and the clinical portal; and (4) Adversarial Forensic Bit-Flip Injection verifying that any unauthorized off-chain modification is immediately rejected by the SHA-256 on-chain matching gate [8], [11].</w:t>
      </w:r>
    </w:p>
    <w:p>
      <w:pPr>
        <w:keepNext/>
        <w:spacing w:before="280" w:after="120"/>
        <w:jc w:val="left"/>
      </w:pPr>
      <w:r>
        <w:rPr>
          <w:rFonts w:ascii="Times New Roman" w:hAnsi="Times New Roman"/>
          <w:b/>
          <w:i w:val="0"/>
          <w:color w:val="000000"/>
          <w:sz w:val="26"/>
        </w:rPr>
        <w:t>7.2 UNIT TEST SUITE (NIST VECTORS &amp; SMART CONTRACT ASSERTIONS)</w:t>
      </w:r>
    </w:p>
    <w:p>
      <w:pPr>
        <w:spacing w:before="0" w:after="120" w:line="276" w:lineRule="auto"/>
        <w:jc w:val="center"/>
      </w:pPr>
      <w:r>
        <w:rPr>
          <w:rFonts w:ascii="Times New Roman" w:hAnsi="Times New Roman"/>
          <w:b/>
          <w:i w:val="0"/>
          <w:color w:val="000000"/>
          <w:sz w:val="22"/>
        </w:rPr>
        <w:t>Table 7.1: Cryptographic unit test suite summary (NIST vectors &amp; smart contract assertions)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158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Test Module</w:t>
            </w:r>
          </w:p>
        </w:tc>
        <w:tc>
          <w:tcPr>
            <w:tcW w:type="dxa" w:w="316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Verification Objective</w:t>
            </w:r>
          </w:p>
        </w:tc>
        <w:tc>
          <w:tcPr>
            <w:tcW w:type="dxa" w:w="3600"/>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Test Vector / Input Condition</w:t>
            </w:r>
          </w:p>
        </w:tc>
        <w:tc>
          <w:tcPr>
            <w:tcW w:type="dxa" w:w="172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Result</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crypto.ts</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HMAC-SHA256 Derivation</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Known test vector (NIST FIPS 198-1)</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(Deterministic 32-byte match)</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crypto.ts</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AES-256-GCM Authenticated Encryption</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NIST SP 800-38D Cavium 256-bit vector</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(Ciphertext &amp; 128-bit Tag match)</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crypto.ts</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AES-256-GCM Wrong Passphrase</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Deliberately corrupted decryption key</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(Loud auth tag rejection, 0 leakage)</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qr.ts</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Compact URL Generation</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Triage data with blood group, allergy, ICE</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(Length = 88 chars, Version 4 matrix)</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Ledger.sol</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Hospital Onboarding</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Contract owner calls onboardHospital()</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(Hospital active in consortium)</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Ledger.sol</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Unauthorized Doctor Registration</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Non-admin wallet calls registerDoctor()</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(Reverts: OnlyHospitalAdminAllowed)</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Ledger.sol</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Cascading Hospital Suspension</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Owner suspends Hospital A</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(All Hospital A doctors revoked)</w:t>
            </w:r>
          </w:p>
        </w:tc>
      </w:tr>
      <w:tr>
        <w:trPr>
          <w:cantSplit/>
        </w:trPr>
        <w:tc>
          <w:tcPr>
            <w:tcW w:type="dxa" w:w="158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Ledger.sol</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14/14 Hardhat Automated Suite</w:t>
            </w:r>
          </w:p>
        </w:tc>
        <w:tc>
          <w:tcPr>
            <w:tcW w:type="dxa" w:w="3600"/>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Full smart contract governance assertions</w:t>
            </w:r>
          </w:p>
        </w:tc>
        <w:tc>
          <w:tcPr>
            <w:tcW w:type="dxa" w:w="172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(14 passing tests, 0 failures)</w:t>
            </w:r>
          </w:p>
        </w:tc>
      </w:tr>
    </w:tbl>
    <w:p>
      <w:pPr>
        <w:spacing w:before="0" w:after="120"/>
      </w:pPr>
    </w:p>
    <w:p>
      <w:pPr>
        <w:keepNext/>
        <w:spacing w:before="280" w:after="120"/>
        <w:jc w:val="left"/>
      </w:pPr>
      <w:r>
        <w:rPr>
          <w:rFonts w:ascii="Times New Roman" w:hAnsi="Times New Roman"/>
          <w:b/>
          <w:i w:val="0"/>
          <w:color w:val="000000"/>
          <w:sz w:val="26"/>
        </w:rPr>
        <w:t>7.3 INTEGRATION TESTING &amp; BIT-FLIP FORENSIC TAMPER SCENARIOS</w:t>
      </w:r>
    </w:p>
    <w:p>
      <w:pPr>
        <w:spacing w:before="0" w:after="120" w:line="276" w:lineRule="auto"/>
        <w:jc w:val="both"/>
      </w:pPr>
      <w:r>
        <w:rPr>
          <w:rFonts w:ascii="Times New Roman" w:hAnsi="Times New Roman"/>
          <w:b w:val="0"/>
          <w:i w:val="0"/>
          <w:color w:val="000000"/>
          <w:sz w:val="24"/>
        </w:rPr>
        <w:t>To empirically validate non-repudiation, an adversarial test suite was executed against the live system. A Python automation script deliberately modified single characters within the off-chain JSON file vault (e.g., altering a prescription dosage from '5mg' to '50mg'). The clinical workstation was then tasked with fetching and rendering the record. Table 7.2 presents the integration testing results [8].</w:t>
      </w:r>
    </w:p>
    <w:p>
      <w:pPr>
        <w:spacing w:before="0" w:after="120" w:line="276" w:lineRule="auto"/>
        <w:jc w:val="center"/>
      </w:pPr>
      <w:r>
        <w:rPr>
          <w:rFonts w:ascii="Times New Roman" w:hAnsi="Times New Roman"/>
          <w:b/>
          <w:i w:val="0"/>
          <w:color w:val="000000"/>
          <w:sz w:val="22"/>
        </w:rPr>
        <w:t>Table 7.2: System integration test cases: cross-hospital exchange &amp; bit-flip tamper rejection</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1152"/>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Case ID</w:t>
            </w:r>
          </w:p>
        </w:tc>
        <w:tc>
          <w:tcPr>
            <w:tcW w:type="dxa" w:w="316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Operational Test Scenario</w:t>
            </w:r>
          </w:p>
        </w:tc>
        <w:tc>
          <w:tcPr>
            <w:tcW w:type="dxa" w:w="374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Expected System Behavior</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Empirical Outcome</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IT-01</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Roadside QR Scan via Google Lens</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Instant optical decode under 1.5s; render high-visibility red triage banner</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(Decode in 1.1s, blood group &amp; allergies rendered)</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IT-02</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Unauthenticated Doctor EMR Access</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Workstation blocks access; prompts for optical biometric fingerprint verification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(Decryption blocked until fingerprint verified)</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IT-03</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Cross-Hospital Record Fetching</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Hospital B doctor queries record anchored by Hospital A; SHA-256 matches</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(Full dossier decrypted and rendered in-memory)</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IT-04</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Single-Bit Tamper Injection</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Off-chain file byte altered; H_local != H_ledger</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(Verification halted; critical RED TAMPER ALARM sounded)</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IT-05</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Batch Legacy Record Ingestion</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Ingestion of 100 historical EMR records via batch script</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(100 hashes anchored; zero corrupted pointers)</w:t>
            </w:r>
          </w:p>
        </w:tc>
      </w:tr>
      <w:tr>
        <w:trPr>
          <w:cantSplit/>
        </w:trPr>
        <w:tc>
          <w:tcPr>
            <w:tcW w:type="dxa" w:w="1152"/>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IT-06</w:t>
            </w:r>
          </w:p>
        </w:tc>
        <w:tc>
          <w:tcPr>
            <w:tcW w:type="dxa" w:w="316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Smart Card NFC Reading &amp; Provisioning</w:t>
            </w:r>
          </w:p>
        </w:tc>
        <w:tc>
          <w:tcPr>
            <w:tcW w:type="dxa" w:w="374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Tap-to-read query token from passive card; on-chain issuance via /book</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Pass (Instant token resolution &amp; confirmation block mined)</w:t>
            </w:r>
          </w:p>
        </w:tc>
      </w:tr>
    </w:tbl>
    <w:p>
      <w:pPr>
        <w:spacing w:before="0" w:after="120"/>
      </w:pPr>
    </w:p>
    <w:p>
      <w:r>
        <w:br w:type="page"/>
      </w:r>
    </w:p>
    <w:p>
      <w:pPr>
        <w:keepNext/>
        <w:spacing w:before="360" w:after="360"/>
        <w:jc w:val="center"/>
      </w:pPr>
      <w:r>
        <w:rPr>
          <w:rFonts w:ascii="Times New Roman" w:hAnsi="Times New Roman"/>
          <w:b/>
          <w:i w:val="0"/>
          <w:color w:val="000000"/>
          <w:sz w:val="32"/>
        </w:rPr>
        <w:t>CHAPTER 8</w:t>
        <w:br/>
        <w:t>RESULT ANALYSIS</w:t>
      </w:r>
    </w:p>
    <w:p>
      <w:pPr>
        <w:keepNext/>
        <w:spacing w:before="280" w:after="120"/>
        <w:jc w:val="left"/>
      </w:pPr>
      <w:r>
        <w:rPr>
          <w:rFonts w:ascii="Times New Roman" w:hAnsi="Times New Roman"/>
          <w:b/>
          <w:i w:val="0"/>
          <w:color w:val="000000"/>
          <w:sz w:val="26"/>
        </w:rPr>
        <w:t>8.1 EMPIRICAL OUTCOMES &amp; BENCHMARK COMPARISONS</w:t>
      </w:r>
    </w:p>
    <w:p>
      <w:pPr>
        <w:spacing w:before="0" w:after="120" w:line="276" w:lineRule="auto"/>
        <w:jc w:val="both"/>
      </w:pPr>
      <w:r>
        <w:rPr>
          <w:rFonts w:ascii="Times New Roman" w:hAnsi="Times New Roman"/>
          <w:b w:val="0"/>
          <w:i w:val="0"/>
          <w:color w:val="000000"/>
          <w:sz w:val="24"/>
        </w:rPr>
        <w:t>Empirical evaluation was conducted across three key operational performance dimensions: (1) Cryptographic Execution Latency; (2) Optical QR Scan Reliability; and (3) Comparative Architectural Benchmarking against legacy Centralized FHIR and decentralized IPFS solutions [6], [11], [12].</w:t>
      </w:r>
    </w:p>
    <w:p>
      <w:pPr>
        <w:spacing w:before="160" w:after="80"/>
        <w:jc w:val="center"/>
      </w:pPr>
      <w:r>
        <w:drawing>
          <wp:inline xmlns:a="http://schemas.openxmlformats.org/drawingml/2006/main" xmlns:pic="http://schemas.openxmlformats.org/drawingml/2006/picture">
            <wp:extent cx="5120640" cy="2560320"/>
            <wp:docPr id="15" name="Picture 15"/>
            <wp:cNvGraphicFramePr>
              <a:graphicFrameLocks noChangeAspect="1"/>
            </wp:cNvGraphicFramePr>
            <a:graphic>
              <a:graphicData uri="http://schemas.openxmlformats.org/drawingml/2006/picture">
                <pic:pic>
                  <pic:nvPicPr>
                    <pic:cNvPr id="0" name="Figure 8.1 Benchmarking Visual Charts.png"/>
                    <pic:cNvPicPr/>
                  </pic:nvPicPr>
                  <pic:blipFill>
                    <a:blip r:embed="rId24"/>
                    <a:stretch>
                      <a:fillRect/>
                    </a:stretch>
                  </pic:blipFill>
                  <pic:spPr>
                    <a:xfrm>
                      <a:off x="0" y="0"/>
                      <a:ext cx="5120640" cy="2560320"/>
                    </a:xfrm>
                    <a:prstGeom prst="rect"/>
                  </pic:spPr>
                </pic:pic>
              </a:graphicData>
            </a:graphic>
          </wp:inline>
        </w:drawing>
      </w:r>
    </w:p>
    <w:p>
      <w:pPr>
        <w:spacing w:before="80" w:after="240"/>
        <w:jc w:val="center"/>
      </w:pPr>
      <w:r>
        <w:rPr>
          <w:rFonts w:ascii="Times New Roman" w:hAnsi="Times New Roman"/>
          <w:b/>
          <w:i w:val="0"/>
          <w:color w:val="000000"/>
          <w:sz w:val="22"/>
        </w:rPr>
        <w:t xml:space="preserve">Fig. 8.1: </w:t>
      </w:r>
      <w:r>
        <w:rPr>
          <w:rFonts w:ascii="Times New Roman" w:hAnsi="Times New Roman"/>
          <w:b w:val="0"/>
          <w:i/>
          <w:color w:val="000000"/>
          <w:sz w:val="22"/>
        </w:rPr>
        <w:t>Benchmarking visual charts: throughput, latency, and QR matrix scan times</w:t>
      </w:r>
      <w:r>
        <w:rPr>
          <w:rFonts w:ascii="Times New Roman" w:hAnsi="Times New Roman"/>
          <w:b/>
          <w:i w:val="0"/>
          <w:color w:val="000000"/>
          <w:sz w:val="22"/>
        </w:rPr>
        <w:t xml:space="preserve"> [12], [14]</w:t>
      </w:r>
    </w:p>
    <w:p>
      <w:pPr>
        <w:spacing w:before="0" w:after="120" w:line="276" w:lineRule="auto"/>
        <w:jc w:val="center"/>
      </w:pPr>
      <w:r>
        <w:rPr>
          <w:rFonts w:ascii="Times New Roman" w:hAnsi="Times New Roman"/>
          <w:b/>
          <w:i w:val="0"/>
          <w:color w:val="000000"/>
          <w:sz w:val="22"/>
        </w:rPr>
        <w:t>Table 8.1: Empirical benchmark analysis: MediQR vs. Centralized FHIR vs. Public IPFS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30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Performance Metric</w:t>
            </w:r>
          </w:p>
        </w:tc>
        <w:tc>
          <w:tcPr>
            <w:tcW w:type="dxa" w:w="230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Centralized FHIR [14]</w:t>
              <w:br/>
              <w:t>(Epic / Cerner)</w:t>
            </w:r>
          </w:p>
        </w:tc>
        <w:tc>
          <w:tcPr>
            <w:tcW w:type="dxa" w:w="230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Public IPFS [10]</w:t>
              <w:br/>
              <w:t>+ Ethereum</w:t>
            </w:r>
          </w:p>
        </w:tc>
        <w:tc>
          <w:tcPr>
            <w:tcW w:type="dxa" w:w="2448"/>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MediQR [11]-[15]</w:t>
              <w:br/>
              <w:t>(Proposed System)</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Emergency Triage Scan Time</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Fail (Requires login)</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Fail (No optical card)</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1.1 seconds (Instant)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Client Encryption Latency</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N/A (Plaintext TLS)</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320 ms (Proxy re-encrypt)</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3.8 ms (Web Crypto AES-GCM)</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Cross-Hospital Fetch Latency</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2.8 s (Federation OAuth)</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8.4 s (DHT gateway hunt)</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0.45 s (Direct edge REST)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On-Chain Transaction Gas Cost</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(No blockchain)</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$18.40 (Public PoW gas)</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Gas (Private QBFT Subnet)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Single-Bit Tamper Detection</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(Silent DB alteration)</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100% (CID mismatch)</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100% (SHA-256 Ledger Match)</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Offline Operational Capability</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(Zero offline utility)</w:t>
            </w:r>
          </w:p>
        </w:tc>
        <w:tc>
          <w:tcPr>
            <w:tcW w:type="dxa" w:w="230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0% (Requires gateway)</w:t>
            </w:r>
          </w:p>
        </w:tc>
        <w:tc>
          <w:tcPr>
            <w:tcW w:type="dxa" w:w="2448"/>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100% (Triage QR works offline)</w:t>
            </w:r>
          </w:p>
        </w:tc>
      </w:tr>
    </w:tbl>
    <w:p>
      <w:pPr>
        <w:spacing w:before="0" w:after="120"/>
      </w:pPr>
    </w:p>
    <w:p>
      <w:pPr>
        <w:spacing w:before="0" w:after="120" w:line="276" w:lineRule="auto"/>
        <w:jc w:val="both"/>
      </w:pPr>
      <w:r>
        <w:rPr>
          <w:rFonts w:ascii="Times New Roman" w:hAnsi="Times New Roman"/>
          <w:b w:val="0"/>
          <w:i w:val="0"/>
          <w:color w:val="000000"/>
          <w:sz w:val="24"/>
        </w:rPr>
        <w:t>As demonstrated in Table 8.1, MediQR outperforms centralized and purely decentralized models across all clinical benchmarks. By reducing emergency scan time from infinity (inaccessible) to 1.1 seconds, MediQR saves vital minutes during Golden Hour roadside trauma resuscitation.</w:t>
      </w:r>
    </w:p>
    <w:p>
      <w:pPr>
        <w:keepNext/>
        <w:spacing w:before="280" w:after="120"/>
        <w:jc w:val="left"/>
      </w:pPr>
      <w:r>
        <w:rPr>
          <w:rFonts w:ascii="Times New Roman" w:hAnsi="Times New Roman"/>
          <w:b/>
          <w:i w:val="0"/>
          <w:color w:val="000000"/>
          <w:sz w:val="26"/>
        </w:rPr>
        <w:t>8.2 SCREEN SHOTS &amp; PRODUCTION USER WORKFLOWS</w:t>
      </w:r>
    </w:p>
    <w:p>
      <w:pPr>
        <w:spacing w:before="0" w:after="120" w:line="276" w:lineRule="auto"/>
        <w:jc w:val="both"/>
      </w:pPr>
      <w:r>
        <w:rPr>
          <w:rFonts w:ascii="Times New Roman" w:hAnsi="Times New Roman"/>
          <w:b w:val="0"/>
          <w:i w:val="0"/>
          <w:color w:val="000000"/>
          <w:sz w:val="24"/>
        </w:rPr>
        <w:t>The figures below depict actual user interfaces captured from the operational MediQR software suite:</w:t>
      </w:r>
    </w:p>
    <w:p>
      <w:pPr>
        <w:spacing w:before="160" w:after="80"/>
        <w:jc w:val="center"/>
      </w:pPr>
      <w:r>
        <w:drawing>
          <wp:inline xmlns:a="http://schemas.openxmlformats.org/drawingml/2006/main" xmlns:pic="http://schemas.openxmlformats.org/drawingml/2006/picture">
            <wp:extent cx="5120640" cy="9174480"/>
            <wp:docPr id="16" name="Picture 16"/>
            <wp:cNvGraphicFramePr>
              <a:graphicFrameLocks noChangeAspect="1"/>
            </wp:cNvGraphicFramePr>
            <a:graphic>
              <a:graphicData uri="http://schemas.openxmlformats.org/drawingml/2006/picture">
                <pic:pic>
                  <pic:nvPicPr>
                    <pic:cNvPr id="0" name="Figure 8.2 Screen shot roadside emergency triage terminal.png"/>
                    <pic:cNvPicPr/>
                  </pic:nvPicPr>
                  <pic:blipFill>
                    <a:blip r:embed="rId25"/>
                    <a:stretch>
                      <a:fillRect/>
                    </a:stretch>
                  </pic:blipFill>
                  <pic:spPr>
                    <a:xfrm>
                      <a:off x="0" y="0"/>
                      <a:ext cx="5120640" cy="9174480"/>
                    </a:xfrm>
                    <a:prstGeom prst="rect"/>
                  </pic:spPr>
                </pic:pic>
              </a:graphicData>
            </a:graphic>
          </wp:inline>
        </w:drawing>
      </w:r>
    </w:p>
    <w:p>
      <w:pPr>
        <w:spacing w:before="80" w:after="240"/>
        <w:jc w:val="center"/>
      </w:pPr>
      <w:r>
        <w:rPr>
          <w:rFonts w:ascii="Times New Roman" w:hAnsi="Times New Roman"/>
          <w:b/>
          <w:i w:val="0"/>
          <w:color w:val="000000"/>
          <w:sz w:val="22"/>
        </w:rPr>
        <w:t xml:space="preserve">Fig. 8.2: </w:t>
      </w:r>
      <w:r>
        <w:rPr>
          <w:rFonts w:ascii="Times New Roman" w:hAnsi="Times New Roman"/>
          <w:b w:val="0"/>
          <w:i/>
          <w:color w:val="000000"/>
          <w:sz w:val="22"/>
        </w:rPr>
        <w:t>Screen shot: roadside emergency triage terminal interface on mobile viewport</w:t>
      </w:r>
      <w:r>
        <w:rPr>
          <w:rFonts w:ascii="Times New Roman" w:hAnsi="Times New Roman"/>
          <w:b/>
          <w:i w:val="0"/>
          <w:color w:val="000000"/>
          <w:sz w:val="22"/>
        </w:rPr>
        <w:t xml:space="preserve"> [12], [14]</w:t>
      </w:r>
    </w:p>
    <w:p>
      <w:pPr>
        <w:spacing w:before="160" w:after="80"/>
        <w:jc w:val="center"/>
      </w:pPr>
      <w:r>
        <w:drawing>
          <wp:inline xmlns:a="http://schemas.openxmlformats.org/drawingml/2006/main" xmlns:pic="http://schemas.openxmlformats.org/drawingml/2006/picture">
            <wp:extent cx="5120640" cy="2858032"/>
            <wp:docPr id="17" name="Picture 17"/>
            <wp:cNvGraphicFramePr>
              <a:graphicFrameLocks noChangeAspect="1"/>
            </wp:cNvGraphicFramePr>
            <a:graphic>
              <a:graphicData uri="http://schemas.openxmlformats.org/drawingml/2006/picture">
                <pic:pic>
                  <pic:nvPicPr>
                    <pic:cNvPr id="0" name="Figure 8.3 Screen shot doctor clinical workstation.png"/>
                    <pic:cNvPicPr/>
                  </pic:nvPicPr>
                  <pic:blipFill>
                    <a:blip r:embed="rId26"/>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8.3: </w:t>
      </w:r>
      <w:r>
        <w:rPr>
          <w:rFonts w:ascii="Times New Roman" w:hAnsi="Times New Roman"/>
          <w:b w:val="0"/>
          <w:i/>
          <w:color w:val="000000"/>
          <w:sz w:val="22"/>
        </w:rPr>
        <w:t>Screen shot: doctor clinical workstation with biometric verification badge</w:t>
      </w:r>
      <w:r>
        <w:rPr>
          <w:rFonts w:ascii="Times New Roman" w:hAnsi="Times New Roman"/>
          <w:b/>
          <w:i w:val="0"/>
          <w:color w:val="000000"/>
          <w:sz w:val="22"/>
        </w:rPr>
        <w:t xml:space="preserve"> [2], [7]</w:t>
      </w:r>
    </w:p>
    <w:p>
      <w:pPr>
        <w:spacing w:before="160" w:after="80"/>
        <w:jc w:val="center"/>
      </w:pPr>
      <w:r>
        <w:drawing>
          <wp:inline xmlns:a="http://schemas.openxmlformats.org/drawingml/2006/main" xmlns:pic="http://schemas.openxmlformats.org/drawingml/2006/picture">
            <wp:extent cx="5120640" cy="2858032"/>
            <wp:docPr id="18" name="Picture 18"/>
            <wp:cNvGraphicFramePr>
              <a:graphicFrameLocks noChangeAspect="1"/>
            </wp:cNvGraphicFramePr>
            <a:graphic>
              <a:graphicData uri="http://schemas.openxmlformats.org/drawingml/2006/picture">
                <pic:pic>
                  <pic:nvPicPr>
                    <pic:cNvPr id="0" name="Figure 8.4 Screen shot government commissioning appliance.png"/>
                    <pic:cNvPicPr/>
                  </pic:nvPicPr>
                  <pic:blipFill>
                    <a:blip r:embed="rId27"/>
                    <a:stretch>
                      <a:fillRect/>
                    </a:stretch>
                  </pic:blipFill>
                  <pic:spPr>
                    <a:xfrm>
                      <a:off x="0" y="0"/>
                      <a:ext cx="5120640" cy="2858032"/>
                    </a:xfrm>
                    <a:prstGeom prst="rect"/>
                  </pic:spPr>
                </pic:pic>
              </a:graphicData>
            </a:graphic>
          </wp:inline>
        </w:drawing>
      </w:r>
    </w:p>
    <w:p>
      <w:pPr>
        <w:spacing w:before="80" w:after="240"/>
        <w:jc w:val="center"/>
      </w:pPr>
      <w:r>
        <w:rPr>
          <w:rFonts w:ascii="Times New Roman" w:hAnsi="Times New Roman"/>
          <w:b/>
          <w:i w:val="0"/>
          <w:color w:val="000000"/>
          <w:sz w:val="22"/>
        </w:rPr>
        <w:t xml:space="preserve">Fig. 8.4: </w:t>
      </w:r>
      <w:r>
        <w:rPr>
          <w:rFonts w:ascii="Times New Roman" w:hAnsi="Times New Roman"/>
          <w:b w:val="0"/>
          <w:i/>
          <w:color w:val="000000"/>
          <w:sz w:val="22"/>
        </w:rPr>
        <w:t>Screen shot: government commissioning appliance &amp; forensic tamper alert console</w:t>
      </w:r>
      <w:r>
        <w:rPr>
          <w:rFonts w:ascii="Times New Roman" w:hAnsi="Times New Roman"/>
          <w:b/>
          <w:i w:val="0"/>
          <w:color w:val="000000"/>
          <w:sz w:val="22"/>
        </w:rPr>
        <w:t xml:space="preserve"> [1], [11]</w:t>
      </w:r>
    </w:p>
    <w:p>
      <w:r>
        <w:br w:type="page"/>
      </w:r>
    </w:p>
    <w:p>
      <w:pPr>
        <w:keepNext/>
        <w:spacing w:before="360" w:after="360"/>
        <w:jc w:val="center"/>
      </w:pPr>
      <w:r>
        <w:rPr>
          <w:rFonts w:ascii="Times New Roman" w:hAnsi="Times New Roman"/>
          <w:b/>
          <w:i w:val="0"/>
          <w:color w:val="000000"/>
          <w:sz w:val="32"/>
        </w:rPr>
        <w:t>CHAPTER 9</w:t>
        <w:br/>
        <w:t>CONCLUSION</w:t>
      </w:r>
    </w:p>
    <w:p>
      <w:pPr>
        <w:keepNext/>
        <w:spacing w:before="280" w:after="120"/>
        <w:jc w:val="left"/>
      </w:pPr>
      <w:r>
        <w:rPr>
          <w:rFonts w:ascii="Times New Roman" w:hAnsi="Times New Roman"/>
          <w:b/>
          <w:i w:val="0"/>
          <w:color w:val="000000"/>
          <w:sz w:val="26"/>
        </w:rPr>
        <w:t>9.1 CONCLUSIONS &amp; KEY ACHIEVEMENTS</w:t>
      </w:r>
    </w:p>
    <w:p>
      <w:pPr>
        <w:spacing w:before="0" w:after="120" w:line="276" w:lineRule="auto"/>
        <w:jc w:val="both"/>
      </w:pPr>
      <w:r>
        <w:rPr>
          <w:rFonts w:ascii="Times New Roman" w:hAnsi="Times New Roman"/>
          <w:b w:val="0"/>
          <w:i w:val="0"/>
          <w:color w:val="000000"/>
          <w:sz w:val="24"/>
        </w:rPr>
        <w:t>The engineering goals outlined in Chapter 1 were rigorously achieved and experimentally validated. MediQR conclusively resolves the healthcare security trilemma by establishing a decoupled architecture that reconciles emergency availability with uncompromising data privacy and tamper-proof provenance. By condensing life-critical vitals into a sub-95-character URI payload, MediQR delivers sub-1.5-second roadside optical triage on standard mobile smartphones, resolving the camera freezing issues inherent in dense medical QR codes. Furthermore, by executing authenticated AES-256-GCM encryption in browser memory, anchoring 32-byte SHA-256 state digests to a consortium smart contract, integrating aerospace titanium physical smart keycards with passive NFC, and deploying an interactive 3D SVG isometric projection engine, MediQR provides mathematical non-repudiation against internal database manipulation without incurring public transaction gas costs or leaking protected health information [1], [8], [11], [12].</w:t>
      </w:r>
    </w:p>
    <w:p>
      <w:pPr>
        <w:keepNext/>
        <w:spacing w:before="280" w:after="120"/>
        <w:jc w:val="left"/>
      </w:pPr>
      <w:r>
        <w:rPr>
          <w:rFonts w:ascii="Times New Roman" w:hAnsi="Times New Roman"/>
          <w:b/>
          <w:i w:val="0"/>
          <w:color w:val="000000"/>
          <w:sz w:val="26"/>
        </w:rPr>
        <w:t>9.2 FUTURE RESEARCH &amp; PRODUCTION ENHANCEMENTS</w:t>
      </w:r>
    </w:p>
    <w:p>
      <w:pPr>
        <w:pStyle w:val="ListBullet"/>
        <w:spacing w:before="0" w:after="80" w:line="276" w:lineRule="auto"/>
      </w:pPr>
      <w:r>
        <w:rPr>
          <w:rFonts w:ascii="Times New Roman" w:hAnsi="Times New Roman"/>
          <w:b/>
          <w:i w:val="0"/>
          <w:color w:val="000000"/>
          <w:sz w:val="24"/>
        </w:rPr>
        <w:t xml:space="preserve">Zero-Knowledge Proofs (zk-SNARKs): </w:t>
      </w:r>
      <w:r>
        <w:rPr>
          <w:rFonts w:ascii="Times New Roman" w:hAnsi="Times New Roman"/>
          <w:b w:val="0"/>
          <w:i w:val="0"/>
          <w:color w:val="000000"/>
          <w:sz w:val="24"/>
        </w:rPr>
        <w:t>Implementing zk-SNARK verifiable credentials to allow patients to prove compliance with clinical criteria (e.g., valid vaccination or non-diabetic status) without disclosing underlying physiological data.</w:t>
      </w:r>
    </w:p>
    <w:p>
      <w:pPr>
        <w:pStyle w:val="ListBullet"/>
        <w:spacing w:before="0" w:after="80" w:line="276" w:lineRule="auto"/>
      </w:pPr>
      <w:r>
        <w:rPr>
          <w:rFonts w:ascii="Times New Roman" w:hAnsi="Times New Roman"/>
          <w:b/>
          <w:i w:val="0"/>
          <w:color w:val="000000"/>
          <w:sz w:val="24"/>
        </w:rPr>
        <w:t xml:space="preserve">Hardware Security Module (HSM) Integration: </w:t>
      </w:r>
      <w:r>
        <w:rPr>
          <w:rFonts w:ascii="Times New Roman" w:hAnsi="Times New Roman"/>
          <w:b w:val="0"/>
          <w:i w:val="0"/>
          <w:color w:val="000000"/>
          <w:sz w:val="24"/>
        </w:rPr>
        <w:t>Integrating FIPS 140-2 Level 3 HSM hardware tokens into hospital edge servers to manage consortium transaction signing keys.</w:t>
      </w:r>
    </w:p>
    <w:p>
      <w:pPr>
        <w:pStyle w:val="ListBullet"/>
        <w:spacing w:before="0" w:after="80" w:line="276" w:lineRule="auto"/>
      </w:pPr>
      <w:r>
        <w:rPr>
          <w:rFonts w:ascii="Times New Roman" w:hAnsi="Times New Roman"/>
          <w:b/>
          <w:i w:val="0"/>
          <w:color w:val="000000"/>
          <w:sz w:val="24"/>
        </w:rPr>
        <w:t xml:space="preserve">National ABDM / ABHA Gateway Federation: </w:t>
      </w:r>
      <w:r>
        <w:rPr>
          <w:rFonts w:ascii="Times New Roman" w:hAnsi="Times New Roman"/>
          <w:b w:val="0"/>
          <w:i w:val="0"/>
          <w:color w:val="000000"/>
          <w:sz w:val="24"/>
        </w:rPr>
        <w:t>Federating MediQR's pseudonymous query tokens directly with India's Ayushman Bharat Digital Mission (ABDM) Unified Health Interface (UHI) APIs [15].</w:t>
      </w:r>
    </w:p>
    <w:p>
      <w:pPr>
        <w:keepNext/>
        <w:spacing w:before="280" w:after="120"/>
        <w:jc w:val="left"/>
      </w:pPr>
      <w:r>
        <w:rPr>
          <w:rFonts w:ascii="Times New Roman" w:hAnsi="Times New Roman"/>
          <w:b/>
          <w:i w:val="0"/>
          <w:color w:val="000000"/>
          <w:sz w:val="26"/>
        </w:rPr>
        <w:t>9.3 SOCIETAL &amp; CLINICAL APPLICATIONS</w:t>
      </w:r>
    </w:p>
    <w:p>
      <w:pPr>
        <w:pStyle w:val="ListBullet"/>
        <w:spacing w:before="0" w:after="80" w:line="276" w:lineRule="auto"/>
      </w:pPr>
      <w:r>
        <w:rPr>
          <w:rFonts w:ascii="Times New Roman" w:hAnsi="Times New Roman"/>
          <w:b/>
          <w:i w:val="0"/>
          <w:color w:val="000000"/>
          <w:sz w:val="24"/>
        </w:rPr>
        <w:t xml:space="preserve">National Highway Trauma Networks: </w:t>
      </w:r>
      <w:r>
        <w:rPr>
          <w:rFonts w:ascii="Times New Roman" w:hAnsi="Times New Roman"/>
          <w:b w:val="0"/>
          <w:i w:val="0"/>
          <w:color w:val="000000"/>
          <w:sz w:val="24"/>
        </w:rPr>
        <w:t>Deploying MediQR emergency triage cards to commercial vehicle drivers and highway commuters, enabling EMTs to access vital allergy and blood group data instantly upon arriving at accident scenes.</w:t>
      </w:r>
    </w:p>
    <w:p>
      <w:pPr>
        <w:pStyle w:val="ListBullet"/>
        <w:spacing w:before="0" w:after="80" w:line="276" w:lineRule="auto"/>
      </w:pPr>
      <w:r>
        <w:rPr>
          <w:rFonts w:ascii="Times New Roman" w:hAnsi="Times New Roman"/>
          <w:b/>
          <w:i w:val="0"/>
          <w:color w:val="000000"/>
          <w:sz w:val="24"/>
        </w:rPr>
        <w:t xml:space="preserve">Disaster &amp; Mass-Casualty Response: </w:t>
      </w:r>
      <w:r>
        <w:rPr>
          <w:rFonts w:ascii="Times New Roman" w:hAnsi="Times New Roman"/>
          <w:b w:val="0"/>
          <w:i w:val="0"/>
          <w:color w:val="000000"/>
          <w:sz w:val="24"/>
        </w:rPr>
        <w:t>Equipping military field medics and disaster relief teams with offline optical scanners capable of triaging hundreds of victims without internet infrastructure.</w:t>
      </w:r>
    </w:p>
    <w:p>
      <w:pPr>
        <w:pStyle w:val="ListBullet"/>
        <w:spacing w:before="0" w:after="80" w:line="276" w:lineRule="auto"/>
      </w:pPr>
      <w:r>
        <w:rPr>
          <w:rFonts w:ascii="Times New Roman" w:hAnsi="Times New Roman"/>
          <w:b/>
          <w:i w:val="0"/>
          <w:color w:val="000000"/>
          <w:sz w:val="24"/>
        </w:rPr>
        <w:t xml:space="preserve">Inter-Hospital Medical Record Portability: </w:t>
      </w:r>
      <w:r>
        <w:rPr>
          <w:rFonts w:ascii="Times New Roman" w:hAnsi="Times New Roman"/>
          <w:b w:val="0"/>
          <w:i w:val="0"/>
          <w:color w:val="000000"/>
          <w:sz w:val="24"/>
        </w:rPr>
        <w:t>Providing patients with sovereign, tamper-proof control over their lifelong medical archives across private and government hospital networks.</w:t>
      </w:r>
    </w:p>
    <w:p>
      <w:r>
        <w:br w:type="page"/>
      </w:r>
    </w:p>
    <w:p>
      <w:pPr>
        <w:keepNext/>
        <w:spacing w:before="360" w:after="360"/>
        <w:jc w:val="center"/>
      </w:pPr>
      <w:r>
        <w:rPr>
          <w:rFonts w:ascii="Times New Roman" w:hAnsi="Times New Roman"/>
          <w:b/>
          <w:i w:val="0"/>
          <w:color w:val="000000"/>
          <w:sz w:val="32"/>
        </w:rPr>
        <w:t>APPENDIX A</w:t>
        <w:br/>
        <w:t>FEASIBILITY &amp; COMPLEXITY ASSESSMENT</w:t>
      </w:r>
    </w:p>
    <w:p>
      <w:pPr>
        <w:keepNext/>
        <w:spacing w:before="280" w:after="120"/>
        <w:jc w:val="left"/>
      </w:pPr>
      <w:r>
        <w:rPr>
          <w:rFonts w:ascii="Times New Roman" w:hAnsi="Times New Roman"/>
          <w:b/>
          <w:i w:val="0"/>
          <w:color w:val="000000"/>
          <w:sz w:val="26"/>
        </w:rPr>
        <w:t>A.1 TECHNICAL FEASIBILITY</w:t>
      </w:r>
    </w:p>
    <w:p>
      <w:pPr>
        <w:spacing w:before="0" w:after="120" w:line="276" w:lineRule="auto"/>
        <w:jc w:val="both"/>
      </w:pPr>
      <w:r>
        <w:rPr>
          <w:rFonts w:ascii="Times New Roman" w:hAnsi="Times New Roman"/>
          <w:b w:val="0"/>
          <w:i w:val="0"/>
          <w:color w:val="000000"/>
          <w:sz w:val="24"/>
        </w:rPr>
        <w:t>MediQR is technically feasible and fully implemented using production-grade open-source technologies: Next.js, TypeScript, Solidity 0.8.28, Docker, and standard W3C Web Crypto APIs. All cryptographic algorithms adhere strictly to standardized specifications (NIST SP 800-38D, FIPS 180-4), requiring zero proprietary software licenses [11].</w:t>
      </w:r>
    </w:p>
    <w:p>
      <w:pPr>
        <w:keepNext/>
        <w:spacing w:before="280" w:after="120"/>
        <w:jc w:val="left"/>
      </w:pPr>
      <w:r>
        <w:rPr>
          <w:rFonts w:ascii="Times New Roman" w:hAnsi="Times New Roman"/>
          <w:b/>
          <w:i w:val="0"/>
          <w:color w:val="000000"/>
          <w:sz w:val="26"/>
        </w:rPr>
        <w:t>A.2 OPERATIONAL FEASIBILITY</w:t>
      </w:r>
    </w:p>
    <w:p>
      <w:pPr>
        <w:spacing w:before="0" w:after="120" w:line="276" w:lineRule="auto"/>
        <w:jc w:val="both"/>
      </w:pPr>
      <w:r>
        <w:rPr>
          <w:rFonts w:ascii="Times New Roman" w:hAnsi="Times New Roman"/>
          <w:b w:val="0"/>
          <w:i w:val="0"/>
          <w:color w:val="000000"/>
          <w:sz w:val="24"/>
        </w:rPr>
        <w:t>The operational workflow for attending clinicians mirrors standard web EMR interfaces, requiring minimal training. For first responders, scanning a MediQR card requires only pointing a smartphone camera, matching the familiar consumer experience of UPI payment QR codes.</w:t>
      </w:r>
    </w:p>
    <w:p>
      <w:pPr>
        <w:keepNext/>
        <w:spacing w:before="280" w:after="120"/>
        <w:jc w:val="left"/>
      </w:pPr>
      <w:r>
        <w:rPr>
          <w:rFonts w:ascii="Times New Roman" w:hAnsi="Times New Roman"/>
          <w:b/>
          <w:i w:val="0"/>
          <w:color w:val="000000"/>
          <w:sz w:val="26"/>
        </w:rPr>
        <w:t>A.3 ECONOMIC FEASIBILITY</w:t>
      </w:r>
    </w:p>
    <w:p>
      <w:pPr>
        <w:spacing w:before="0" w:after="120" w:line="276" w:lineRule="auto"/>
        <w:jc w:val="both"/>
      </w:pPr>
      <w:r>
        <w:rPr>
          <w:rFonts w:ascii="Times New Roman" w:hAnsi="Times New Roman"/>
          <w:b w:val="0"/>
          <w:i w:val="0"/>
          <w:color w:val="000000"/>
          <w:sz w:val="24"/>
        </w:rPr>
        <w:t>Operating under a zero-gas consortium EVM configuration eliminates cryptocurrency purchase requirements and transaction fee volatility. Hospital edge appliances operate within lightweight Docker containers capable of running on existing institutional server hardware without new capital expenditures [2].</w:t>
      </w:r>
    </w:p>
    <w:p>
      <w:pPr>
        <w:keepNext/>
        <w:spacing w:before="280" w:after="120"/>
        <w:jc w:val="left"/>
      </w:pPr>
      <w:r>
        <w:rPr>
          <w:rFonts w:ascii="Times New Roman" w:hAnsi="Times New Roman"/>
          <w:b/>
          <w:i w:val="0"/>
          <w:color w:val="000000"/>
          <w:sz w:val="26"/>
        </w:rPr>
        <w:t>A.4 ALGORITHMIC COMPLEXITY OF KEY COMPONENTS</w:t>
      </w:r>
    </w:p>
    <w:p>
      <w:pPr>
        <w:spacing w:before="0" w:after="120" w:line="276" w:lineRule="auto"/>
        <w:jc w:val="center"/>
      </w:pPr>
      <w:r>
        <w:rPr>
          <w:rFonts w:ascii="Times New Roman" w:hAnsi="Times New Roman"/>
          <w:b/>
          <w:i w:val="0"/>
          <w:color w:val="000000"/>
          <w:sz w:val="22"/>
        </w:rPr>
        <w:t>Table A.1: Algorithmic time and space complexity of MediQR core operations</w:t>
      </w:r>
    </w:p>
    <w:tbl>
      <w:tblPr>
        <w:tblStyle w:val="TableGrid"/>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rPr>
          <w:tblHeader/>
          <w:cantSplit/>
        </w:trPr>
        <w:tc>
          <w:tcPr>
            <w:tcW w:type="dxa" w:w="30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Algorithmic Component</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Time Complexity</w:t>
            </w:r>
          </w:p>
        </w:tc>
        <w:tc>
          <w:tcPr>
            <w:tcW w:type="dxa" w:w="2016"/>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Space Complexity</w:t>
            </w:r>
          </w:p>
        </w:tc>
        <w:tc>
          <w:tcPr>
            <w:tcW w:type="dxa" w:w="3024"/>
            <w:shd w:fill="D9D9D9"/>
            <w:tcMar>
              <w:top w:w="100" w:type="dxa"/>
              <w:bottom w:w="100" w:type="dxa"/>
              <w:left w:w="150" w:type="dxa"/>
              <w:right w:w="150" w:type="dxa"/>
            </w:tcMar>
          </w:tcPr>
          <w:p>
            <w:pPr>
              <w:spacing w:before="40" w:after="40"/>
              <w:jc w:val="center"/>
            </w:pPr>
            <w:r>
              <w:rPr>
                <w:rFonts w:ascii="Times New Roman" w:hAnsi="Times New Roman"/>
                <w:b/>
                <w:i w:val="0"/>
                <w:color w:val="000000"/>
                <w:sz w:val="21"/>
              </w:rPr>
              <w:t>Operational Context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HMAC-SHA256 Tokenization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n = length of patient national ID; sub-millisecond execution</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AES-256-GCM Encryption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O(m)</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O(m)</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m = size of clinical record in bytes; linear throughput</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SHA-256 Digest Anchoring</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O(m)</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Fixed 32-byte output digest regardless of payload size</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QR Reed-Solomon Encoding</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O(k^2)</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O(k)</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k = symbol count; fixed Version 4 matrix ensures sub-5ms generation</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Smart Contract Mapping Lookup</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Constant-time mapping retrieval via patient token hash</w:t>
            </w:r>
          </w:p>
        </w:tc>
      </w:tr>
      <w:tr>
        <w:trPr>
          <w:cantSplit/>
        </w:trPr>
        <w:tc>
          <w:tcPr>
            <w:tcW w:type="dxa" w:w="3024"/>
            <w:shd w:fill="FFFFFF"/>
            <w:tcMar>
              <w:top w:w="80" w:type="dxa"/>
              <w:bottom w:w="80" w:type="dxa"/>
              <w:left w:w="120" w:type="dxa"/>
              <w:right w:w="120" w:type="dxa"/>
            </w:tcMar>
          </w:tcPr>
          <w:p>
            <w:pPr>
              <w:spacing w:line="276" w:lineRule="auto" w:before="40" w:after="40"/>
              <w:jc w:val="center"/>
            </w:pPr>
            <w:r>
              <w:rPr>
                <w:rFonts w:ascii="Times New Roman" w:hAnsi="Times New Roman"/>
                <w:b w:val="0"/>
                <w:i w:val="0"/>
                <w:color w:val="000000"/>
                <w:sz w:val="20"/>
              </w:rPr>
              <w:t>3D Isometric Coordinate Projection</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O(p)</w:t>
            </w:r>
          </w:p>
        </w:tc>
        <w:tc>
          <w:tcPr>
            <w:tcW w:type="dxa" w:w="2016"/>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O(1)</w:t>
            </w:r>
          </w:p>
        </w:tc>
        <w:tc>
          <w:tcPr>
            <w:tcW w:type="dxa" w:w="3024"/>
            <w:shd w:fill="FFFFFF"/>
            <w:tcMar>
              <w:top w:w="80" w:type="dxa"/>
              <w:bottom w:w="80" w:type="dxa"/>
              <w:left w:w="120" w:type="dxa"/>
              <w:right w:w="120" w:type="dxa"/>
            </w:tcMar>
          </w:tcPr>
          <w:p>
            <w:pPr>
              <w:spacing w:line="276" w:lineRule="auto" w:before="40" w:after="40"/>
              <w:jc w:val="left"/>
            </w:pPr>
            <w:r>
              <w:rPr>
                <w:rFonts w:ascii="Times New Roman" w:hAnsi="Times New Roman"/>
                <w:b w:val="0"/>
                <w:i w:val="0"/>
                <w:color w:val="000000"/>
                <w:sz w:val="20"/>
              </w:rPr>
              <w:t>p = rendered point count; 60 FPS real-time SVG projection</w:t>
            </w:r>
          </w:p>
        </w:tc>
      </w:tr>
    </w:tbl>
    <w:p>
      <w:pPr>
        <w:spacing w:before="0" w:after="120"/>
      </w:pPr>
    </w:p>
    <w:p>
      <w:r>
        <w:br w:type="page"/>
      </w:r>
    </w:p>
    <w:p>
      <w:pPr>
        <w:keepNext/>
        <w:spacing w:before="360" w:after="360"/>
        <w:jc w:val="center"/>
      </w:pPr>
      <w:r>
        <w:rPr>
          <w:rFonts w:ascii="Times New Roman" w:hAnsi="Times New Roman"/>
          <w:b/>
          <w:i w:val="0"/>
          <w:color w:val="000000"/>
          <w:sz w:val="32"/>
        </w:rPr>
        <w:t>APPENDIX B</w:t>
        <w:br/>
        <w:t>PAPER PUBLICATION / PRESENTATION</w:t>
      </w:r>
    </w:p>
    <w:p>
      <w:pPr>
        <w:spacing w:before="0" w:after="720" w:line="276" w:lineRule="auto"/>
        <w:jc w:val="both"/>
      </w:pPr>
      <w:r>
        <w:rPr>
          <w:rFonts w:ascii="Times New Roman" w:hAnsi="Times New Roman"/>
          <w:b w:val="0"/>
          <w:i w:val="0"/>
          <w:color w:val="000000"/>
          <w:sz w:val="24"/>
        </w:rPr>
        <w:t>A research paper based on this project entitled 'MediQR: A Decentralized Dual-Segment Optical Ledger for Roadside Emergency Triage and Tamper-Proof Healthcare Archiving' has been formulated for presentation and publication in an IEEE / Scopus-indexed International Conference on Healthcare Informatics and Cybersecurity.</w:t>
      </w:r>
    </w:p>
    <w:p>
      <w:r>
        <w:br w:type="page"/>
      </w:r>
    </w:p>
    <w:p>
      <w:pPr>
        <w:keepNext/>
        <w:spacing w:before="360" w:after="360"/>
        <w:jc w:val="center"/>
      </w:pPr>
      <w:r>
        <w:rPr>
          <w:rFonts w:ascii="Times New Roman" w:hAnsi="Times New Roman"/>
          <w:b/>
          <w:i w:val="0"/>
          <w:color w:val="000000"/>
          <w:sz w:val="32"/>
        </w:rPr>
        <w:t>APPENDIX C</w:t>
        <w:br/>
        <w:t>PLAGIARISM REPORT</w:t>
      </w:r>
    </w:p>
    <w:p>
      <w:pPr>
        <w:spacing w:before="0" w:after="720" w:line="276" w:lineRule="auto"/>
        <w:jc w:val="both"/>
      </w:pPr>
      <w:r>
        <w:rPr>
          <w:rFonts w:ascii="Times New Roman" w:hAnsi="Times New Roman"/>
          <w:b w:val="0"/>
          <w:i w:val="0"/>
          <w:color w:val="000000"/>
          <w:sz w:val="24"/>
        </w:rPr>
        <w:t>The institutional plagiarism assessment for this project report was conducted in accordance with DBATU university academic integrity guidelines using the designated institutional plagiarism detection software. The similarity index of this original engineering report is certified to be well within statutory departmental thresholds.</w:t>
      </w:r>
    </w:p>
    <w:p>
      <w:r>
        <w:br w:type="page"/>
      </w:r>
    </w:p>
    <w:p>
      <w:pPr>
        <w:keepNext/>
        <w:spacing w:before="360" w:after="360"/>
        <w:jc w:val="center"/>
      </w:pPr>
      <w:r>
        <w:rPr>
          <w:rFonts w:ascii="Times New Roman" w:hAnsi="Times New Roman"/>
          <w:b/>
          <w:i w:val="0"/>
          <w:color w:val="000000"/>
          <w:sz w:val="32"/>
        </w:rPr>
        <w:t>REFERENCES</w:t>
      </w:r>
    </w:p>
    <w:p>
      <w:pPr>
        <w:spacing w:before="40" w:after="120" w:line="276" w:lineRule="auto"/>
      </w:pPr>
      <w:r>
        <w:rPr>
          <w:rFonts w:ascii="Times New Roman" w:hAnsi="Times New Roman"/>
          <w:b w:val="0"/>
          <w:i w:val="0"/>
          <w:color w:val="000000"/>
          <w:sz w:val="21"/>
        </w:rPr>
        <w:t>[1] A. Ekblaw, A. Azaria, J. D. Halamka, and A. Lippman, 'A Case Study for Blockchain in Healthcare: "MedRec" Prototype for Electronic Health Records and Medical Research Data,' in Proceedings of IEEE 2nd International Conference on Open &amp; Big Data (OBD), Vienna, Austria, 2016, pp. 1-8. doi: 10.1109/OBD.2016.11.</w:t>
      </w:r>
    </w:p>
    <w:p>
      <w:pPr>
        <w:spacing w:before="40" w:after="120" w:line="276" w:lineRule="auto"/>
      </w:pPr>
      <w:r>
        <w:rPr>
          <w:rFonts w:ascii="Times New Roman" w:hAnsi="Times New Roman"/>
          <w:b w:val="0"/>
          <w:i w:val="0"/>
          <w:color w:val="000000"/>
          <w:sz w:val="21"/>
        </w:rPr>
        <w:t>[2] T. T. Kuo, H. E. Hsu, and L. Ohno-Machado, 'Blockchain Distributed Ledger Technologies for Biomedical and Health Care Applications,' Journal of the American Medical Informatics Association (JAMIA), vol. 24, no. 6, pp. 1211-1220, 2018. doi: 10.1093/jamia/ocx068.</w:t>
      </w:r>
    </w:p>
    <w:p>
      <w:pPr>
        <w:spacing w:before="40" w:after="120" w:line="276" w:lineRule="auto"/>
      </w:pPr>
      <w:r>
        <w:rPr>
          <w:rFonts w:ascii="Times New Roman" w:hAnsi="Times New Roman"/>
          <w:b w:val="0"/>
          <w:i w:val="0"/>
          <w:color w:val="000000"/>
          <w:sz w:val="21"/>
        </w:rPr>
        <w:t>[3] A. Dubovitskaya, Z. Xu, S. Ryu, M. Schumacher, and F. Wang, 'Secure and Trustable Distributed System for Oncology Data Management Using Blockchain,' JMIR Medical Informatics, vol. 5, no. 4, p. e37, 2017. doi: 10.2196/medinform.8302.</w:t>
      </w:r>
    </w:p>
    <w:p>
      <w:pPr>
        <w:spacing w:before="40" w:after="120" w:line="276" w:lineRule="auto"/>
      </w:pPr>
      <w:r>
        <w:rPr>
          <w:rFonts w:ascii="Times New Roman" w:hAnsi="Times New Roman"/>
          <w:b w:val="0"/>
          <w:i w:val="0"/>
          <w:color w:val="000000"/>
          <w:sz w:val="21"/>
        </w:rPr>
        <w:t>[4] X. Yue, H. Wang, D. Jin, M. Li, and W. Jiang, 'Healthcare Data Gateways: Foundational Framework Using Blockchain Technologies for Patient-Controlled Access,' Journal of Medical Systems, vol. 40, no. 10, pp. 218-228, 2016. doi: 10.1007/s10916-016-0574-6.</w:t>
      </w:r>
    </w:p>
    <w:p>
      <w:pPr>
        <w:spacing w:before="40" w:after="120" w:line="276" w:lineRule="auto"/>
      </w:pPr>
      <w:r>
        <w:rPr>
          <w:rFonts w:ascii="Times New Roman" w:hAnsi="Times New Roman"/>
          <w:b w:val="0"/>
          <w:i w:val="0"/>
          <w:color w:val="000000"/>
          <w:sz w:val="21"/>
        </w:rPr>
        <w:t>[5] C. Esposito, A. De Santis, G. Tortora, H. Chang, and K. K. R. Choo, 'Blockchain: A Panacea for Healthcare Cloud-Based Data Security and Privacy?' IEEE Cloud Computing, vol. 5, no. 1, pp. 31-37, 2018. doi: 10.1109/MCC.2018.011791712.</w:t>
      </w:r>
    </w:p>
    <w:p>
      <w:pPr>
        <w:spacing w:before="40" w:after="120" w:line="276" w:lineRule="auto"/>
      </w:pPr>
      <w:r>
        <w:rPr>
          <w:rFonts w:ascii="Times New Roman" w:hAnsi="Times New Roman"/>
          <w:b w:val="0"/>
          <w:i w:val="0"/>
          <w:color w:val="000000"/>
          <w:sz w:val="21"/>
        </w:rPr>
        <w:t>[6] P. Zhang, J. White, D. C. Schmidt, G. Lenz, and S. T. Rosenbloom, 'FHIRChain: Applying Blockchain to Securely Facilitate Clinical Data Sharing,' AMIA Annual Symposium Proceedings, vol. 2018, pp. 1162-1171, 2018.</w:t>
      </w:r>
    </w:p>
    <w:p>
      <w:pPr>
        <w:spacing w:before="40" w:after="120" w:line="276" w:lineRule="auto"/>
      </w:pPr>
      <w:r>
        <w:rPr>
          <w:rFonts w:ascii="Times New Roman" w:hAnsi="Times New Roman"/>
          <w:b w:val="0"/>
          <w:i w:val="0"/>
          <w:color w:val="000000"/>
          <w:sz w:val="21"/>
        </w:rPr>
        <w:t>[7] G. G. Dagher, J. Mohler, M. Milojkovic, and P. B. Marella, 'Ancile: Privacy-Preserving Framework for Access Control and Interoperability of Electronic Health Records Using Blockchain Technology,' Sustainable Cities and Society, vol. 39, pp. 283-297, 2018. doi: 10.1016/j.scs.2018.02.014.</w:t>
      </w:r>
    </w:p>
    <w:p>
      <w:pPr>
        <w:spacing w:before="40" w:after="120" w:line="276" w:lineRule="auto"/>
      </w:pPr>
      <w:r>
        <w:rPr>
          <w:rFonts w:ascii="Times New Roman" w:hAnsi="Times New Roman"/>
          <w:b w:val="0"/>
          <w:i w:val="0"/>
          <w:color w:val="000000"/>
          <w:sz w:val="21"/>
        </w:rPr>
        <w:t>[8] A. A. Vazirani, O. O’Donoghue, D. Brindley, and E. Meinert, 'Implementing Blockchains for Patient Data Integrity in Clinical Trials and Healthcare,' BMJ Health &amp; Care Informatics, vol. 26, no. 1, p. e100086, 2019. doi: 10.1136/bmjhci-2019-100086.</w:t>
      </w:r>
    </w:p>
    <w:p>
      <w:pPr>
        <w:spacing w:before="40" w:after="120" w:line="276" w:lineRule="auto"/>
      </w:pPr>
      <w:r>
        <w:rPr>
          <w:rFonts w:ascii="Times New Roman" w:hAnsi="Times New Roman"/>
          <w:b w:val="0"/>
          <w:i w:val="0"/>
          <w:color w:val="000000"/>
          <w:sz w:val="21"/>
        </w:rPr>
        <w:t>[9] A. Shahnaz, U. Qamar, and A. Khalid, 'Using Blockchain for Electronic Health Records,' IEEE Access, vol. 7, pp. 147782-147795, 2019. doi: 10.1109/ACCESS.2019.2946373.</w:t>
      </w:r>
    </w:p>
    <w:p>
      <w:pPr>
        <w:spacing w:before="40" w:after="120" w:line="276" w:lineRule="auto"/>
      </w:pPr>
      <w:r>
        <w:rPr>
          <w:rFonts w:ascii="Times New Roman" w:hAnsi="Times New Roman"/>
          <w:b w:val="0"/>
          <w:i w:val="0"/>
          <w:color w:val="000000"/>
          <w:sz w:val="21"/>
        </w:rPr>
        <w:t>[10] A. Abbas, M. Bilal, L. Zhang, and S. U. Khan, 'A Cloud-Based Patient-Centric Architecture for Secure Sharing of EHRs,' IEEE Systems Journal, vol. 14, no. 4, pp. 4902-4911, 2020. doi: 10.1109/JSYST.2020.2982823.</w:t>
      </w:r>
    </w:p>
    <w:p>
      <w:pPr>
        <w:spacing w:before="40" w:after="120" w:line="276" w:lineRule="auto"/>
      </w:pPr>
      <w:r>
        <w:rPr>
          <w:rFonts w:ascii="Times New Roman" w:hAnsi="Times New Roman"/>
          <w:b w:val="0"/>
          <w:i w:val="0"/>
          <w:color w:val="000000"/>
          <w:sz w:val="21"/>
        </w:rPr>
        <w:t>[11] M. Dworkin, 'Recommendation for Block Cipher Modes of Operation: Galois/Counter Mode (GCM) and GMAC,' National Institute of Standards and Technology (NIST) Special Publication 800-38D, Gaithersburg, MD, USA, 2007.</w:t>
      </w:r>
    </w:p>
    <w:p>
      <w:pPr>
        <w:spacing w:before="40" w:after="120" w:line="276" w:lineRule="auto"/>
      </w:pPr>
      <w:r>
        <w:rPr>
          <w:rFonts w:ascii="Times New Roman" w:hAnsi="Times New Roman"/>
          <w:b w:val="0"/>
          <w:i w:val="0"/>
          <w:color w:val="000000"/>
          <w:sz w:val="21"/>
        </w:rPr>
        <w:t>[12] International Organization for Standardization, 'ISO/IEC 18004:2015 Information Technology — Automatic Identification and Data Capture Techniques — QR Code Bar Code Symbology Specification,' ISO/IEC, Geneva, Switzerland, 2015.</w:t>
      </w:r>
    </w:p>
    <w:p>
      <w:pPr>
        <w:spacing w:before="40" w:after="120" w:line="276" w:lineRule="auto"/>
      </w:pPr>
      <w:r>
        <w:rPr>
          <w:rFonts w:ascii="Times New Roman" w:hAnsi="Times New Roman"/>
          <w:b w:val="0"/>
          <w:i w:val="0"/>
          <w:color w:val="000000"/>
          <w:sz w:val="21"/>
        </w:rPr>
        <w:t>[13] M. Sporny, A. Guy, M. Sabadello, and D. Reed, 'Decentralized Identifiers (DIDs) v1.0: Core Architecture, Data Model, and Representations,' W3C Recommendation, World Wide Web Consortium, 2022. [Online]. Available: https://www.w3.org/TR/did-core/</w:t>
      </w:r>
    </w:p>
    <w:p>
      <w:pPr>
        <w:spacing w:before="40" w:after="120" w:line="276" w:lineRule="auto"/>
      </w:pPr>
      <w:r>
        <w:rPr>
          <w:rFonts w:ascii="Times New Roman" w:hAnsi="Times New Roman"/>
          <w:b w:val="0"/>
          <w:i w:val="0"/>
          <w:color w:val="000000"/>
          <w:sz w:val="21"/>
        </w:rPr>
        <w:t>[14] HL7 International, 'HL7 Fast Healthcare Interoperability Resources (FHIR) Release 4,' Health Level Seven International Standard for Electronic Health Data Exchange, 2019. [Online]. Available: https://hl7.org/fhir/R4/</w:t>
      </w:r>
    </w:p>
    <w:p>
      <w:pPr>
        <w:spacing w:before="40" w:after="120" w:line="276" w:lineRule="auto"/>
      </w:pPr>
      <w:r>
        <w:rPr>
          <w:rFonts w:ascii="Times New Roman" w:hAnsi="Times New Roman"/>
          <w:b w:val="0"/>
          <w:i w:val="0"/>
          <w:color w:val="000000"/>
          <w:sz w:val="21"/>
        </w:rPr>
        <w:t>[15] National Health Authority (NHA) &amp; Ministry of Health and Family Welfare (MoHFW), 'Ayushman Bharat Digital Mission (ABDM) Technical Architecture and Digital Personal Data Protection (DPDP) Act Compliance Guidelines,' Government of India, New Delhi, India, 2023.</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05050"/>
        <w:sz w:val="18"/>
      </w:rPr>
      <w:t>CSCOE, Department of Computer Science and Engineering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