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line="276" w:lineRule="auto"/>
        <w:jc w:val="center"/>
      </w:pPr>
      <w:r>
        <w:rPr>
          <w:rFonts w:ascii="Times New Roman" w:hAnsi="Times New Roman"/>
          <w:b/>
          <w:i w:val="0"/>
          <w:color w:val="000000"/>
          <w:sz w:val="28"/>
        </w:rPr>
        <w:t>A</w:t>
        <w:br/>
        <w:t>PROJECT REPORT ON</w:t>
      </w:r>
    </w:p>
    <w:p>
      <w:pPr>
        <w:spacing w:before="240" w:after="480" w:line="276" w:lineRule="auto"/>
        <w:jc w:val="center"/>
      </w:pPr>
      <w:r>
        <w:rPr>
          <w:rFonts w:ascii="Times New Roman" w:hAnsi="Times New Roman"/>
          <w:b/>
          <w:i w:val="0"/>
          <w:color w:val="123466"/>
          <w:sz w:val="32"/>
        </w:rPr>
        <w:t>A BLOCKCHAIN-BASED TAMPER-PROOF HEALTHCARE ARCHIVE AND EMERGENCY MEDICAL QR LEDGER (MEDIQR)</w:t>
      </w:r>
    </w:p>
    <w:p>
      <w:pPr>
        <w:spacing w:before="240" w:after="480" w:line="276" w:lineRule="auto"/>
        <w:jc w:val="center"/>
      </w:pPr>
      <w:r>
        <w:rPr>
          <w:rFonts w:ascii="Times New Roman" w:hAnsi="Times New Roman"/>
          <w:b/>
          <w:i w:val="0"/>
          <w:color w:val="000000"/>
          <w:sz w:val="22"/>
        </w:rPr>
        <w:t>SUBMITTED TO THE DR. BABASAHEB AMBEDKAR TECHNOLOGICAL UNIVERSITY</w:t>
        <w:br/>
        <w:t>IN THE PARTIAL FULFILLMENT OF THE REQUIREMENTS</w:t>
        <w:br/>
        <w:t>FOR THE AWARD OF THE DEGREE</w:t>
        <w:br/>
        <w:br/>
        <w:t>OF</w:t>
        <w:br/>
        <w:br/>
        <w:t>BACHELOR OF TECHNOLOGY (COMPUTER SCIENCE AND ENGINEERING)</w:t>
      </w:r>
    </w:p>
    <w:p>
      <w:pPr>
        <w:spacing w:before="240" w:after="720" w:line="276" w:lineRule="auto"/>
        <w:jc w:val="center"/>
      </w:pPr>
      <w:r>
        <w:rPr>
          <w:rFonts w:ascii="Times New Roman" w:hAnsi="Times New Roman"/>
          <w:b/>
          <w:i w:val="0"/>
          <w:color w:val="000000"/>
          <w:sz w:val="24"/>
        </w:rPr>
        <w:t>SUBMITTED BY</w:t>
        <w:br/>
        <w:br/>
        <w:t>SAKSHI D. THOMBARE      Exam No: 23025331242087</w:t>
        <w:br/>
        <w:t>PUSHPAK M. JAISWAL      Exam No: 23025331242099</w:t>
      </w:r>
    </w:p>
    <w:p>
      <w:pPr>
        <w:spacing w:before="360" w:after="360" w:line="276" w:lineRule="auto"/>
        <w:jc w:val="center"/>
      </w:pPr>
      <w:r>
        <w:rPr>
          <w:rFonts w:ascii="Times New Roman" w:hAnsi="Times New Roman"/>
          <w:b/>
          <w:i w:val="0"/>
          <w:color w:val="000000"/>
          <w:sz w:val="22"/>
        </w:rPr>
        <w:t>DEPARTMENT OF COMPUTER SCIENCE AND ENGINEERING</w:t>
        <w:br/>
        <w:t>CSMSS, CHH. SHAHU COLLEGE OF ENGINEERING</w:t>
        <w:br/>
        <w:t>KANCHANWADI, PAITHAN ROAD, CHHATRAPATI SAMBHAJINAGAR</w:t>
        <w:br/>
        <w:t>(AURANGABAD) - 431 002.</w:t>
        <w:br/>
        <w:t>DR. BABASAHEB AMBEDKAR TECHNOLOGICAL UNIVERSITY, LONERE.</w:t>
        <w:br/>
        <w:br/>
        <w:t>2026 - 2027</w:t>
      </w:r>
    </w:p>
    <w:p>
      <w:r>
        <w:br w:type="page"/>
      </w:r>
    </w:p>
    <w:p>
      <w:pPr>
        <w:spacing w:before="480" w:after="360"/>
        <w:jc w:val="center"/>
      </w:pPr>
      <w:r>
        <w:rPr>
          <w:rFonts w:ascii="Times New Roman" w:hAnsi="Times New Roman"/>
          <w:b/>
          <w:i w:val="0"/>
          <w:color w:val="000000"/>
          <w:sz w:val="32"/>
        </w:rPr>
        <w:t>CERTIFICATE</w:t>
      </w:r>
    </w:p>
    <w:p>
      <w:pPr>
        <w:spacing w:before="0" w:after="240" w:line="276" w:lineRule="auto"/>
        <w:jc w:val="center"/>
      </w:pPr>
      <w:r>
        <w:rPr>
          <w:rFonts w:ascii="Times New Roman" w:hAnsi="Times New Roman"/>
          <w:b w:val="0"/>
          <w:i w:val="0"/>
          <w:color w:val="000000"/>
          <w:sz w:val="24"/>
        </w:rPr>
        <w:t>This is to certify that the project report entitled</w:t>
      </w:r>
    </w:p>
    <w:p>
      <w:pPr>
        <w:spacing w:before="0" w:after="360" w:line="276" w:lineRule="auto"/>
        <w:jc w:val="center"/>
      </w:pPr>
      <w:r>
        <w:rPr>
          <w:rFonts w:ascii="Times New Roman" w:hAnsi="Times New Roman"/>
          <w:b/>
          <w:i w:val="0"/>
          <w:color w:val="000000"/>
          <w:sz w:val="26"/>
        </w:rPr>
        <w:t>A BLOCKCHAIN-BASED TAMPER-PROOF HEALTHCARE ARCHIVE AND EMERGENCY MEDICAL QR LEDGER (MEDIQR)</w:t>
      </w:r>
    </w:p>
    <w:p>
      <w:pPr>
        <w:spacing w:before="0" w:after="360" w:line="276" w:lineRule="auto"/>
        <w:jc w:val="center"/>
      </w:pPr>
      <w:r>
        <w:rPr>
          <w:rFonts w:ascii="Times New Roman" w:hAnsi="Times New Roman"/>
          <w:b w:val="0"/>
          <w:i w:val="0"/>
          <w:color w:val="000000"/>
          <w:sz w:val="24"/>
        </w:rPr>
        <w:t>Submitted by</w:t>
        <w:br/>
        <w:br/>
        <w:t>SAKSHI D. THOMBARE       Exam No: 23025331242087</w:t>
        <w:br/>
        <w:t>PUSHPAK M. JAISWAL       Exam No: 23025331242099</w:t>
      </w:r>
    </w:p>
    <w:p>
      <w:pPr>
        <w:spacing w:before="0" w:after="960" w:line="276" w:lineRule="auto"/>
        <w:jc w:val="both"/>
      </w:pPr>
      <w:r>
        <w:rPr>
          <w:rFonts w:ascii="Times New Roman" w:hAnsi="Times New Roman"/>
          <w:b w:val="0"/>
          <w:i w:val="0"/>
          <w:color w:val="000000"/>
          <w:sz w:val="24"/>
        </w:rPr>
        <w:t>is a bonafide student of this institute and the work has been carried out by him/her under the supervision of Prof. N. Z. Patel and it is approved for the partial fulfillment of the requirement of Dr. Babasaheb Ambedkar Technological University, for the award of the degree of Bachelor of Technology (Computer Science and Engineering).</w:t>
      </w:r>
    </w:p>
    <w:p>
      <w:pPr>
        <w:spacing w:before="0" w:after="720" w:line="276" w:lineRule="auto"/>
        <w:jc w:val="center"/>
      </w:pPr>
      <w:r>
        <w:rPr>
          <w:rFonts w:ascii="Times New Roman" w:hAnsi="Times New Roman"/>
          <w:b/>
          <w:i w:val="0"/>
          <w:color w:val="000000"/>
          <w:sz w:val="21"/>
        </w:rPr>
        <w:t>(Prof. N. Z. Patel)                                                    (DR. S. P. Abhang)</w:t>
        <w:br/>
        <w:t>Guide                                                                     Head</w:t>
        <w:br/>
        <w:t>Computer Science &amp; Engineering                         Computer Science &amp; Engineering</w:t>
        <w:br/>
        <w:br/>
        <w:br/>
        <w:br/>
        <w:t>(DR. G. B. Dongare)</w:t>
        <w:br/>
        <w:t>Principal</w:t>
        <w:br/>
        <w:t>CSMSS, CHHATRAPATI SHAHU COLLEGE OF ENGINEERING,</w:t>
        <w:br/>
        <w:t>CHH. SAMBHAJINAGAR</w:t>
      </w:r>
    </w:p>
    <w:p>
      <w:pPr>
        <w:spacing w:before="0" w:after="120" w:line="276" w:lineRule="auto"/>
        <w:jc w:val="left"/>
      </w:pPr>
      <w:r>
        <w:rPr>
          <w:rFonts w:ascii="Times New Roman" w:hAnsi="Times New Roman"/>
          <w:b w:val="0"/>
          <w:i w:val="0"/>
          <w:color w:val="000000"/>
          <w:sz w:val="22"/>
        </w:rPr>
        <w:t>Place: Chh. Sambhajinagar</w:t>
        <w:br/>
        <w:t>Date:</w:t>
      </w:r>
    </w:p>
    <w:p>
      <w:r>
        <w:br w:type="page"/>
      </w:r>
    </w:p>
    <w:p>
      <w:pPr>
        <w:spacing w:before="480" w:after="480"/>
        <w:jc w:val="center"/>
      </w:pPr>
      <w:r>
        <w:rPr>
          <w:rFonts w:ascii="Times New Roman" w:hAnsi="Times New Roman"/>
          <w:b/>
          <w:i w:val="0"/>
          <w:color w:val="000000"/>
          <w:sz w:val="32"/>
        </w:rPr>
        <w:t>ACKNOWLEDGEMENT</w:t>
      </w:r>
    </w:p>
    <w:p>
      <w:pPr>
        <w:spacing w:before="0" w:after="240" w:line="276" w:lineRule="auto"/>
        <w:jc w:val="both"/>
      </w:pPr>
      <w:r>
        <w:rPr>
          <w:rFonts w:ascii="Times New Roman" w:hAnsi="Times New Roman"/>
          <w:b w:val="0"/>
          <w:i w:val="0"/>
          <w:color w:val="000000"/>
          <w:sz w:val="24"/>
        </w:rPr>
        <w:t>This project would not have taken shape without the critical reviews, rigorous technical demands, and unwavering guidance of the mentors and domain experts who challenged our assumptions at every milestone. We are profoundly grateful to our project guide, Prof. N. Z. Patel, for directing our research toward solving genuine healthcare dilemmas, insisting on cryptographic rigor rather than superficial demos, and demonstrating endless patience as we debugged low-level smart contract assertions and client-side encryption vectors.</w:t>
      </w:r>
    </w:p>
    <w:p>
      <w:pPr>
        <w:spacing w:before="0" w:after="240" w:line="276" w:lineRule="auto"/>
        <w:jc w:val="both"/>
      </w:pPr>
      <w:r>
        <w:rPr>
          <w:rFonts w:ascii="Times New Roman" w:hAnsi="Times New Roman"/>
          <w:b w:val="0"/>
          <w:i w:val="0"/>
          <w:color w:val="000000"/>
          <w:sz w:val="24"/>
        </w:rPr>
        <w:t>We extend our heartfelt gratitude to Dr. S. P. Abhang, Head of the Department of Computer Science and Engineering, and Dr. G. B. Dongare, Principal of CSMSS Chhatrapati Shahu College of Engineering, for providing the institutional infrastructure, high-performance computing facilities, and an encouraging academic environment that fostered innovative engineering.</w:t>
      </w:r>
    </w:p>
    <w:p>
      <w:pPr>
        <w:spacing w:before="0" w:after="240" w:line="276" w:lineRule="auto"/>
        <w:jc w:val="both"/>
      </w:pPr>
      <w:r>
        <w:rPr>
          <w:rFonts w:ascii="Times New Roman" w:hAnsi="Times New Roman"/>
          <w:b w:val="0"/>
          <w:i w:val="0"/>
          <w:color w:val="000000"/>
          <w:sz w:val="24"/>
        </w:rPr>
        <w:t>Our sincere thanks also go to the faculty members of the departmental review committee whose searching questions during seminars pushed us to refine our consensus models, eliminate single points of failure, and enforce absolute non-repudiation in our cryptographic audit trails.</w:t>
      </w:r>
    </w:p>
    <w:p>
      <w:pPr>
        <w:spacing w:before="0" w:after="960" w:line="276" w:lineRule="auto"/>
        <w:jc w:val="both"/>
      </w:pPr>
      <w:r>
        <w:rPr>
          <w:rFonts w:ascii="Times New Roman" w:hAnsi="Times New Roman"/>
          <w:b w:val="0"/>
          <w:i w:val="0"/>
          <w:color w:val="000000"/>
          <w:sz w:val="24"/>
        </w:rPr>
        <w:t>Finally, we thank the emergency medical professionals, paramedic personnel, and hospital administrators who offered invaluable feedback during requirement gathering sessions, ensuring that MediQR functions as an intuitive, life-saving operational utility rather than an academic proof-of-concept.</w:t>
      </w:r>
    </w:p>
    <w:p>
      <w:pPr>
        <w:spacing w:before="0" w:after="120" w:line="276" w:lineRule="auto"/>
        <w:jc w:val="right"/>
      </w:pPr>
      <w:r>
        <w:rPr>
          <w:rFonts w:ascii="Times New Roman" w:hAnsi="Times New Roman"/>
          <w:b/>
          <w:i w:val="0"/>
          <w:color w:val="000000"/>
          <w:sz w:val="22"/>
        </w:rPr>
        <w:t>SAKSHI D. THOMBARE      Exam No: 23025331242087</w:t>
        <w:br/>
        <w:t>PUSHPAK M. JAISWAL      Exam No: 23025331242099</w:t>
      </w:r>
    </w:p>
    <w:p>
      <w:r>
        <w:br w:type="page"/>
      </w:r>
    </w:p>
    <w:p>
      <w:pPr>
        <w:spacing w:before="480" w:after="360"/>
        <w:jc w:val="center"/>
      </w:pPr>
      <w:r>
        <w:rPr>
          <w:rFonts w:ascii="Times New Roman" w:hAnsi="Times New Roman"/>
          <w:b/>
          <w:i w:val="0"/>
          <w:color w:val="000000"/>
          <w:sz w:val="32"/>
        </w:rPr>
        <w:t>ABSTRACT</w:t>
      </w:r>
    </w:p>
    <w:p>
      <w:pPr>
        <w:spacing w:before="0" w:after="240" w:line="276" w:lineRule="auto"/>
        <w:jc w:val="both"/>
      </w:pPr>
      <w:r>
        <w:rPr>
          <w:rFonts w:ascii="Times New Roman" w:hAnsi="Times New Roman"/>
          <w:b w:val="0"/>
          <w:i w:val="0"/>
          <w:color w:val="000000"/>
          <w:sz w:val="24"/>
        </w:rPr>
        <w:t>Every conventional Electronic Health Record (EHR) ecosystem today relies on centralized institutional databases to maintain medical histories. While centralized repositories offer standard query mechanisms, they create dangerous institutional silos: a trauma surgeon treating an unconscious victim in an emergency room in Mumbai cannot natively query records generated at an Apollo facility in Delhi without administrative passwords, time-consuming telephone authorizations, or SMS one-time passwords sent to a victim's locked smartphone. More critically, centralized healthcare databases remain single points of failure vulnerable to internal administrative tampering, unauthorized credential leaks, and catastrophic ransomware outages. Conversely, storing raw Protected Health Information (PHI) directly on a public blockchain introduces severe privacy violations under HIPAA and India's Digital Personal Data Protection (DPDP) Act, alongside prohibitive transaction gas costs.</w:t>
      </w:r>
    </w:p>
    <w:p>
      <w:pPr>
        <w:spacing w:before="0" w:after="240" w:line="276" w:lineRule="auto"/>
        <w:jc w:val="both"/>
      </w:pPr>
      <w:r>
        <w:rPr>
          <w:rFonts w:ascii="Times New Roman" w:hAnsi="Times New Roman"/>
          <w:b w:val="0"/>
          <w:i w:val="0"/>
          <w:color w:val="000000"/>
          <w:sz w:val="24"/>
        </w:rPr>
        <w:t>This project introduces MediQR, an enterprise-grade hybrid architecture uniting decentralized Ethereum-compatible smart contract state machines with localized off-chain storage appliances and dual-segment optical MediQR physical tokens. The core innovation bisects medical access into two orthogonal security tiers. For roadside first responders, the public optical segment encodes critical emergency triage parameters (blood group, anaphylactic medication allergies, chronic baseline conditions, resuscitation directives, and emergency phone contacts) into a compact, zero-latency QR matrix (&lt;95 characters) that renders on any mobile smartphone browser within 1.5 seconds completely offline, without authentication or institutional gatekeeping. For longitudinal clinical care, the complete clinical dossier (diagnoses, laboratory panels, prescriptions, and surgical operative notes) is encrypted client-side inside the attending practitioner's browser using AES-256-GCM before transmission.</w:t>
      </w:r>
    </w:p>
    <w:p>
      <w:pPr>
        <w:spacing w:before="0" w:after="360" w:line="276" w:lineRule="auto"/>
        <w:jc w:val="both"/>
      </w:pPr>
      <w:r>
        <w:rPr>
          <w:rFonts w:ascii="Times New Roman" w:hAnsi="Times New Roman"/>
          <w:b w:val="0"/>
          <w:i w:val="0"/>
          <w:color w:val="000000"/>
          <w:sz w:val="24"/>
        </w:rPr>
        <w:t>To guarantee absolute non-repudiation without on-chain data leakage, only a cryptographic 32-byte SHA-256 document fingerprint and a salted HMAC-SHA256 patient query identifier are anchored onto a permissioned Solidity smart contract ledger (MedicalRecordLedger.sol). A hierarchical Role-Based Access Control (Consortium Root Admin -&gt; Accredited Hospital Admin -&gt; Verified Attending Physician) combined with hardware biometric fingerprint authentication enforces that only credentialed medical staff can decrypt the clinical vault in browser memory. An integrated simulation engine verifies that any off-chain bit tampering is automatically detected, rejecting compromised records in real-time. Automated Hardhat and cryptographic test suites prove 100% tamper identification, sub-20ms QR scan parsing, and total compliance with statutory medical privacy standards.</w:t>
      </w:r>
    </w:p>
    <w:p>
      <w:r>
        <w:br w:type="page"/>
      </w:r>
    </w:p>
    <w:p>
      <w:pPr>
        <w:spacing w:before="480" w:after="360"/>
        <w:jc w:val="center"/>
      </w:pPr>
      <w:r>
        <w:rPr>
          <w:rFonts w:ascii="Times New Roman" w:hAnsi="Times New Roman"/>
          <w:b/>
          <w:i w:val="0"/>
          <w:color w:val="000000"/>
          <w:sz w:val="32"/>
        </w:rPr>
        <w:t>TABLE OF CONTENTS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00"/>
        <w:gridCol w:w="3000"/>
        <w:gridCol w:w="3000"/>
      </w:tblGrid>
      <w:tr>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Sr. No.</w:t>
            </w:r>
          </w:p>
        </w:tc>
        <w:tc>
          <w:tcPr>
            <w:tcW w:type="dxa" w:w="662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Title of Chapter</w:t>
            </w:r>
          </w:p>
        </w:tc>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Page No.</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List of Abbreviations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List of Figures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ii</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List of Tables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iii</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Introduction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1</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1.1  Overview</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1.2  Motivation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1.3  Problem Definition and Objectives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1.4  Project Scope &amp; Limitations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1.5  Methodologies of Problem Solving</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02</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Literature Survey</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5</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2.1  Centralized Electronic Health Record Systems (Epic, Cerner)</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5</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2.2  Standard Barcode and Unencrypted Medical QR Cards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5</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2.3  Blockchain Timestamping and Smart Contracts in Healthcare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6</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2.4  Decentralized &amp; Hybrid Storage Architectures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6</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2.5  Comparative Analysis &amp; Gap Identification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7</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03</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Software Requirements Specification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8</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3.1  Assumptions and Dependencies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3.2  Functional Requirements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3.3  External Interface Requirements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9</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3.4  Nonfunctional Requirements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10</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3.5  System Requirements (Hardware, Software, Platform)</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11</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3.6  Analysis Model: SDLC Incremental Model Applied</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11</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04</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System Design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12</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4.1  System Architecture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12</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4.2  Mathematical Model</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13</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4.3  Data Flow Diagrams (Level 0, Level 1, Level 2)</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14</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4.4  Entity Relationship / On-Chain &amp; Off-Chain Data Model</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15</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4.5  UML Diagrams (Use Case, Sequence, Class, Component, Deploy, State)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16</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05</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Project Plan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20</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5.1  Project Estimate (Reconciled Estimates, Resources)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20</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5.2  Risk Management</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20</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5.3  Project Schedule (WBS, Task Network, Gantt Chart)</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21</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5.4  Team Organization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22</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06</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Project Implementation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23</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6.1  Overview of Project Modules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23</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6.2  Tools and Technologies Used</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23</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6.3  Algorithm Details (HMAC-SHA256, AES-256-GCM, Compact QR Engine)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24</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07</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Software Testing</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26</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7.1  Type of Testing</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26</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7.2  Test Cases &amp; Test Results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26</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08</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Result Analysis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29</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8.1  Outcomes and Benchmark Comparisons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29</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8.2  Screen Shots and User Workflows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30</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09</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Conclusion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32</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9.1  Conclusions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32</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9.2  Future Work</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32</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9.3  Applications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33</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Appendix A: Feasibility &amp; Complexity Assessment</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34</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Appendix B: Paper Publication / Presentation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36</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Appendix C: Plagiarism Report</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37</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References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38</w:t>
            </w:r>
          </w:p>
        </w:tc>
      </w:tr>
    </w:tbl>
    <w:p>
      <w:pPr>
        <w:spacing w:after="120"/>
      </w:pPr>
    </w:p>
    <w:p>
      <w:r>
        <w:br w:type="page"/>
      </w:r>
    </w:p>
    <w:p>
      <w:pPr>
        <w:spacing w:before="480" w:after="360"/>
        <w:jc w:val="center"/>
      </w:pPr>
      <w:r>
        <w:rPr>
          <w:rFonts w:ascii="Times New Roman" w:hAnsi="Times New Roman"/>
          <w:b/>
          <w:i w:val="0"/>
          <w:color w:val="000000"/>
          <w:sz w:val="32"/>
        </w:rPr>
        <w:t>LIST OF ABBREVIATIONS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00"/>
        <w:gridCol w:w="4500"/>
      </w:tblGrid>
      <w:tr>
        <w:tc>
          <w:tcPr>
            <w:tcW w:type="dxa" w:w="259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ABBREVIATION</w:t>
            </w:r>
          </w:p>
        </w:tc>
        <w:tc>
          <w:tcPr>
            <w:tcW w:type="dxa" w:w="633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EXPANSION</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ABHA</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Ayushman Bharat Health Account</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ABI</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Application Binary Interface</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AES-GCM</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Advanced Encryption Standard - Galois/Counter Mode (256-bit)</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API</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Application Programming Interface</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BLOB</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Binary Large Object</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CLI</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Command-Line Interface</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DFD</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Data Flow Diagram</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DPDP</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Digital Personal Data Protection Act (India, 2023)</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EHR</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Electronic Health Record</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EMR</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Electronic Medical Record</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EMT</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Emergency Medical Technician / First Responder</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ERC-20</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Ethereum Request for Comments 20 (Fungible Token Standard)</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EVM</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Ethereum Virtual Machine</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FHIR</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Fast Healthcare Interoperability Resources</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GCM</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Galois/Counter Mode (Authenticated Symmetric Encryption)</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HIPAA</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Health Insurance Portability and Accountability Act (USA)</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HMAC</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Hash-based Message Authentication Code</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HSM</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Hardware Security Module</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JSON-RPC</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JavaScript Object Notation Remote Procedure Call</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MAC</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Message Authentication Code (128-bit authentication tag)</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MOH</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Ministry of Health and Family Welfare</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NHA</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National Health Authority</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OCR</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Optical Character Recognition</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PBKDF2</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Password-Based Key Derivation Function 2</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PHI</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Protected Health Information</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QBFT</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Quorum Byzantine Fault Tolerance (Zero-Gas Consortium Engine)</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RBAC</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Role-Based Access Control</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RPC</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Remote Procedure Call</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SDLC</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Software Development Life Cycle</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SHA</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Secure Hash Algorithm (SHA-256, 32-byte digest)</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SRS</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Software Requirements Specification</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UML</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Unified Modeling Language</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URI</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Uniform Resource Identifier</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UUID</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Universally Unique Identifier</w:t>
            </w:r>
          </w:p>
        </w:tc>
      </w:tr>
    </w:tbl>
    <w:p>
      <w:pPr>
        <w:spacing w:after="120"/>
      </w:pPr>
    </w:p>
    <w:p>
      <w:r>
        <w:br w:type="page"/>
      </w:r>
    </w:p>
    <w:p>
      <w:pPr>
        <w:spacing w:before="480" w:after="360"/>
        <w:jc w:val="center"/>
      </w:pPr>
      <w:r>
        <w:rPr>
          <w:rFonts w:ascii="Times New Roman" w:hAnsi="Times New Roman"/>
          <w:b/>
          <w:i w:val="0"/>
          <w:color w:val="000000"/>
          <w:sz w:val="32"/>
        </w:rPr>
        <w:t>LIST OF FIGURES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00"/>
        <w:gridCol w:w="3000"/>
        <w:gridCol w:w="3000"/>
      </w:tblGrid>
      <w:tr>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Figure</w:t>
            </w:r>
          </w:p>
        </w:tc>
        <w:tc>
          <w:tcPr>
            <w:tcW w:type="dxa" w:w="662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Illustration</w:t>
            </w:r>
          </w:p>
        </w:tc>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Page No.</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High-level view of the MediQR system</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Incremental process model applied to this project</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11</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System architecture: CLI client and on-chain contract</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12</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4.2</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Context-level data flow diagram (Level 0)</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14</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4.3</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Data flow diagram, Level 1</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14</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4.4</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Data flow diagram, Level 2 (expansion of the Push process)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14</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4.5</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On-chain data model</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15</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4.6</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Use case diagram</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16</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4.7</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Sequence diagram: push flow</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17</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4.8</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Class / module diagram</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18</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4.9</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Component diagram</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18</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4.10</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Deployment diagram</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19</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4.11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State diagram: pull-request lifecycle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19</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5.1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Project timeline (Gantt chart)</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22</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CLI build/runtime benchmark: C vs. V vs. Python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29</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8.2</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Terminal output: repository creation, commit, and push</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30</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8.3</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Terminal output: blocked self-approval and PR merge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30</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8.4</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Terminal output: rebase conflict detection and resolution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31</w:t>
            </w:r>
          </w:p>
        </w:tc>
      </w:tr>
    </w:tbl>
    <w:p>
      <w:pPr>
        <w:spacing w:after="120"/>
      </w:pPr>
    </w:p>
    <w:p>
      <w:r>
        <w:br w:type="page"/>
      </w:r>
    </w:p>
    <w:p>
      <w:pPr>
        <w:spacing w:before="480" w:after="360"/>
        <w:jc w:val="center"/>
      </w:pPr>
      <w:r>
        <w:rPr>
          <w:rFonts w:ascii="Times New Roman" w:hAnsi="Times New Roman"/>
          <w:b/>
          <w:i w:val="0"/>
          <w:color w:val="000000"/>
          <w:sz w:val="32"/>
        </w:rPr>
        <w:t>LIST OF TABLES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00"/>
        <w:gridCol w:w="3000"/>
        <w:gridCol w:w="3000"/>
      </w:tblGrid>
      <w:tr>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Table</w:t>
            </w:r>
          </w:p>
        </w:tc>
        <w:tc>
          <w:tcPr>
            <w:tcW w:type="dxa" w:w="662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Illustration</w:t>
            </w:r>
          </w:p>
        </w:tc>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Page No.</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Comparing DVCS with existing version-control approaches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6</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Summary of functional requirements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3.2</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Hardware and software requirements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11</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5.1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Project task set and effort estimate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20</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5.2</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Risk register</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21</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6.1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On-chain gas cost reference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25</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7.1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Unit test suite summary</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26</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7.2</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Integration test cases and results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27</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Benchmark results: C vs. V vs. Python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29</w:t>
            </w:r>
          </w:p>
        </w:tc>
      </w:tr>
    </w:tbl>
    <w:p>
      <w:pPr>
        <w:spacing w:after="120"/>
      </w:pPr>
    </w:p>
    <w:p>
      <w:r>
        <w:br w:type="page"/>
      </w:r>
    </w:p>
    <w:p>
      <w:pPr>
        <w:spacing w:before="360" w:after="360"/>
        <w:jc w:val="center"/>
      </w:pPr>
      <w:r>
        <w:rPr>
          <w:rFonts w:ascii="Times New Roman" w:hAnsi="Times New Roman"/>
          <w:b/>
          <w:i w:val="0"/>
          <w:color w:val="000000"/>
          <w:sz w:val="32"/>
        </w:rPr>
        <w:t>CHAPTER 1</w:t>
        <w:br/>
        <w:t>INTRODUCTION</w:t>
      </w:r>
    </w:p>
    <w:p>
      <w:pPr>
        <w:spacing w:before="280" w:after="120"/>
        <w:jc w:val="left"/>
      </w:pPr>
      <w:r>
        <w:rPr>
          <w:rFonts w:ascii="Times New Roman" w:hAnsi="Times New Roman"/>
          <w:b/>
          <w:i w:val="0"/>
          <w:color w:val="000000"/>
          <w:sz w:val="26"/>
        </w:rPr>
        <w:t>1.1 OVERVIEW</w:t>
      </w:r>
    </w:p>
    <w:p>
      <w:pPr>
        <w:spacing w:before="0" w:after="120" w:line="276" w:lineRule="auto"/>
        <w:jc w:val="both"/>
      </w:pPr>
      <w:r>
        <w:rPr>
          <w:rFonts w:ascii="Times New Roman" w:hAnsi="Times New Roman"/>
          <w:b w:val="0"/>
          <w:i w:val="0"/>
          <w:color w:val="000000"/>
          <w:sz w:val="24"/>
        </w:rPr>
        <w:t>The modern healthcare ecosystem is profoundly fragmented. When a citizen experiences trauma or a life-threatening medical emergency away from their home healthcare provider, the clinical staff at the receiving emergency room (ER) operate in total informational blindness. According to trauma medicine benchmarks, the first sixty minutes following acute injury—colloquially termed the 'Golden Hour'—dictate clinical survival probabilities. Within this vital window, emergency clinicians must make rapid pharmacological and surgical decisions regarding blood transfusions, emergency intubation, anesthesia, and antibiotic administration. However, discovering whether an unconscious victim possesses an O-negative blood type, an anaphylactic hypersensitivity to Penicillin, or a history of severe cardiac arrhythmia currently depends on conscious patient recall, physical wallet identity cards, or slow inter-hospital telephone coordination.</w:t>
      </w:r>
    </w:p>
    <w:p>
      <w:pPr>
        <w:spacing w:before="0" w:after="120" w:line="276" w:lineRule="auto"/>
        <w:jc w:val="both"/>
      </w:pPr>
      <w:r>
        <w:rPr>
          <w:rFonts w:ascii="Times New Roman" w:hAnsi="Times New Roman"/>
          <w:b w:val="0"/>
          <w:i w:val="0"/>
          <w:color w:val="000000"/>
          <w:sz w:val="24"/>
        </w:rPr>
        <w:t>Existing Electronic Health Record (EHR) platforms fail to resolve this roadside dilemma. Legacy architectures operated by commercial vendors (such as Epic Systems, Cerner, and regional hospital database systems) function as proprietary walled gardens. While these systems achieve robust record management within an affiliated hospital campus, they lack universal, cross-institutional zero-trust interoperability. A hospital database in Chhatrapati Sambhajinagar cannot natively query patient records established at an Apollo hospital in Delhi without pre-negotiated bilateral data-sharing compacts, administrative federation credentials, or SMS one-time passwords delivered to an unconscious patient's locked smartphone.</w:t>
      </w:r>
    </w:p>
    <w:p>
      <w:pPr>
        <w:spacing w:before="0" w:after="120" w:line="276" w:lineRule="auto"/>
        <w:jc w:val="both"/>
      </w:pPr>
      <w:r>
        <w:rPr>
          <w:rFonts w:ascii="Times New Roman" w:hAnsi="Times New Roman"/>
          <w:b w:val="0"/>
          <w:i w:val="0"/>
          <w:color w:val="000000"/>
          <w:sz w:val="24"/>
        </w:rPr>
        <w:t>To overcome these systemic bottlenecks without compromising patient confidentiality, this project presents MediQR: an enterprise-grade, decentralized healthcare archive and dual-segment optical triage ledger. MediQR bridges the gap between emergency first response and longitudinal record provenance through a hybrid decentralized architecture. By isolating lightweight emergency triage data from deeply encrypted longitudinal clinical archives, MediQR provides sub-2-second offline optical access to first responders while ensuring that comprehensive medical dossiers remain mathematically protected by client-side AES-256-GCM encryption, authenticated by immutable on-chain SHA-256 fingerprints anchored to an EVM-compatible consortium blockchain.</w:t>
      </w:r>
    </w:p>
    <w:p>
      <w:pPr>
        <w:spacing w:before="160" w:after="80"/>
        <w:jc w:val="center"/>
      </w:pPr>
      <w:r>
        <w:drawing>
          <wp:inline xmlns:a="http://schemas.openxmlformats.org/drawingml/2006/main" xmlns:pic="http://schemas.openxmlformats.org/drawingml/2006/picture">
            <wp:extent cx="5120640" cy="3413760"/>
            <wp:docPr id="1" name="Picture 1"/>
            <wp:cNvGraphicFramePr>
              <a:graphicFrameLocks noChangeAspect="1"/>
            </wp:cNvGraphicFramePr>
            <a:graphic>
              <a:graphicData uri="http://schemas.openxmlformats.org/drawingml/2006/picture">
                <pic:pic>
                  <pic:nvPicPr>
                    <pic:cNvPr id="0" name="Figure 1.1 High-Level System Architecture.png"/>
                    <pic:cNvPicPr/>
                  </pic:nvPicPr>
                  <pic:blipFill>
                    <a:blip r:embed="rId10"/>
                    <a:stretch>
                      <a:fillRect/>
                    </a:stretch>
                  </pic:blipFill>
                  <pic:spPr>
                    <a:xfrm>
                      <a:off x="0" y="0"/>
                      <a:ext cx="5120640" cy="3413760"/>
                    </a:xfrm>
                    <a:prstGeom prst="rect"/>
                  </pic:spPr>
                </pic:pic>
              </a:graphicData>
            </a:graphic>
          </wp:inline>
        </w:drawing>
      </w:r>
    </w:p>
    <w:p>
      <w:pPr>
        <w:spacing w:before="80" w:after="240"/>
        <w:jc w:val="center"/>
      </w:pPr>
      <w:r>
        <w:rPr>
          <w:rFonts w:ascii="Times New Roman" w:hAnsi="Times New Roman"/>
          <w:b/>
          <w:i w:val="0"/>
          <w:color w:val="000000"/>
          <w:sz w:val="22"/>
        </w:rPr>
        <w:t xml:space="preserve">Fig. 1.1: </w:t>
      </w:r>
      <w:r>
        <w:rPr>
          <w:rFonts w:ascii="Times New Roman" w:hAnsi="Times New Roman"/>
          <w:b w:val="0"/>
          <w:i/>
          <w:color w:val="000000"/>
          <w:sz w:val="22"/>
        </w:rPr>
        <w:t>High-level view of the MediQR system</w:t>
      </w:r>
    </w:p>
    <w:p>
      <w:pPr>
        <w:spacing w:before="280" w:after="120"/>
        <w:jc w:val="left"/>
      </w:pPr>
      <w:r>
        <w:rPr>
          <w:rFonts w:ascii="Times New Roman" w:hAnsi="Times New Roman"/>
          <w:b/>
          <w:i w:val="0"/>
          <w:color w:val="000000"/>
          <w:sz w:val="26"/>
        </w:rPr>
        <w:t>1.2 MOTIVATION</w:t>
      </w:r>
    </w:p>
    <w:p>
      <w:pPr>
        <w:spacing w:before="0" w:after="120" w:line="276" w:lineRule="auto"/>
        <w:jc w:val="both"/>
      </w:pPr>
      <w:r>
        <w:rPr>
          <w:rFonts w:ascii="Times New Roman" w:hAnsi="Times New Roman"/>
          <w:b w:val="0"/>
          <w:i w:val="0"/>
          <w:color w:val="000000"/>
          <w:sz w:val="24"/>
        </w:rPr>
        <w:t>The motivation behind MediQR does not stem from a misplaced belief that distributed blockchains should host all healthcare data. Placing multi-megabyte clinical histories, high-resolution radiological DICOM scans, or identifiable patient demographic records directly on a public blockchain ledger is fundamentally flawed: on-chain storage on public blockchains is economically prohibitive (costing upwards of $20,000 to store a single gigabyte of data via EVM SSTORE instructions), and permanently recording private health information violates international statutory frameworks including the European Union's General Data Protection Regulation (GDPR Article 17, 'Right to be Forgotten'), the United States' Health Insurance Portability and Accountability Act (HIPAA), and India's Digital Personal Data Protection (DPDP) Act of 2023.</w:t>
      </w:r>
    </w:p>
    <w:p>
      <w:pPr>
        <w:spacing w:before="0" w:after="120" w:line="276" w:lineRule="auto"/>
        <w:jc w:val="both"/>
      </w:pPr>
      <w:r>
        <w:rPr>
          <w:rFonts w:ascii="Times New Roman" w:hAnsi="Times New Roman"/>
          <w:b w:val="0"/>
          <w:i w:val="0"/>
          <w:color w:val="000000"/>
          <w:sz w:val="24"/>
        </w:rPr>
        <w:t>Instead, the genesis of MediQR arises from identifying a very specific cryptographic boundary: blockchains are uniquely suited for immutable state machines, tamper-evident timestamping, non-repudiable audit logging, and decentralized identity governance. In traditional centralized hospital servers, a privileged database administrator, rogue insider, or malicious ransomware intruder possessing root credentials can silently alter prescription dosages, rewrite surgical histories, or delete disciplinary records without leaving an external audit trail. By separating storage from provenance—anchoring only a deterministic 32-byte cryptographic fingerprint (SHA-256) onto an EVM consortium smart contract while keeping encrypted data in localized hospital appliances—MediQR establishes an unforgeable digital wax seal that proves record integrity with zero risk of PHI leakage.</w:t>
      </w:r>
    </w:p>
    <w:p>
      <w:pPr>
        <w:spacing w:before="280" w:after="120"/>
        <w:jc w:val="left"/>
      </w:pPr>
      <w:r>
        <w:rPr>
          <w:rFonts w:ascii="Times New Roman" w:hAnsi="Times New Roman"/>
          <w:b/>
          <w:i w:val="0"/>
          <w:color w:val="000000"/>
          <w:sz w:val="26"/>
        </w:rPr>
        <w:t>1.3 PROBLEM DEFINITION AND OBJECTIVES</w:t>
      </w:r>
    </w:p>
    <w:p>
      <w:pPr>
        <w:spacing w:before="0" w:after="120" w:line="276" w:lineRule="auto"/>
        <w:jc w:val="both"/>
      </w:pPr>
      <w:r>
        <w:rPr>
          <w:rFonts w:ascii="Times New Roman" w:hAnsi="Times New Roman"/>
          <w:b w:val="0"/>
          <w:i w:val="0"/>
          <w:color w:val="000000"/>
          <w:sz w:val="24"/>
        </w:rPr>
        <w:t>Problem Statement: Existing emergency and clinical healthcare archives suffer from an irreconcilable trilemma: centralized systems create administrative bottlenecks and single points of data tampering; paper and standard QR identity cards expose confidential medical histories to public visual snooping; and direct on-chain blockchain storage violates patient privacy statutes while incurring prohibitive transaction costs. There is no existing infrastructure that simultaneously guarantees sub-2-second roadside emergency triage retrieval, zero-trust cross-hospital record sharing, and mathematical non-repudiation against internal data tampering.</w:t>
      </w:r>
    </w:p>
    <w:p>
      <w:pPr>
        <w:spacing w:before="0" w:after="80" w:line="276" w:lineRule="auto"/>
        <w:jc w:val="left"/>
      </w:pPr>
      <w:r>
        <w:rPr>
          <w:rFonts w:ascii="Times New Roman" w:hAnsi="Times New Roman"/>
          <w:b w:val="0"/>
          <w:i w:val="0"/>
          <w:color w:val="000000"/>
          <w:sz w:val="24"/>
        </w:rPr>
        <w:t>Key Engineering Objectives:</w:t>
      </w:r>
    </w:p>
    <w:p>
      <w:pPr>
        <w:pStyle w:val="ListBullet"/>
        <w:spacing w:before="0" w:after="80" w:line="276" w:lineRule="auto"/>
      </w:pPr>
      <w:r>
        <w:rPr>
          <w:rFonts w:ascii="Times New Roman" w:hAnsi="Times New Roman"/>
          <w:b/>
          <w:i w:val="0"/>
          <w:color w:val="000000"/>
          <w:sz w:val="24"/>
        </w:rPr>
        <w:t xml:space="preserve">1. Dual-Segment Optical Tokenization: </w:t>
      </w:r>
      <w:r>
        <w:rPr>
          <w:rFonts w:ascii="Times New Roman" w:hAnsi="Times New Roman"/>
          <w:b w:val="0"/>
          <w:i w:val="0"/>
          <w:color w:val="000000"/>
          <w:sz w:val="24"/>
        </w:rPr>
        <w:t>Design and implement a compact QR generation algorithm that encodes critical emergency parameters (name, blood group, anaphylactic allergies, conditions, and phone contacts) into a URI payload under 95 characters, preventing optical moiré distortion and loading on any standard smartphone camera within 1.5 seconds.</w:t>
      </w:r>
    </w:p>
    <w:p>
      <w:pPr>
        <w:pStyle w:val="ListBullet"/>
        <w:spacing w:before="0" w:after="80" w:line="276" w:lineRule="auto"/>
      </w:pPr>
      <w:r>
        <w:rPr>
          <w:rFonts w:ascii="Times New Roman" w:hAnsi="Times New Roman"/>
          <w:b/>
          <w:i w:val="0"/>
          <w:color w:val="000000"/>
          <w:sz w:val="24"/>
        </w:rPr>
        <w:t xml:space="preserve">2. Client-Side Cryptographic Vault: </w:t>
      </w:r>
      <w:r>
        <w:rPr>
          <w:rFonts w:ascii="Times New Roman" w:hAnsi="Times New Roman"/>
          <w:b w:val="0"/>
          <w:i w:val="0"/>
          <w:color w:val="000000"/>
          <w:sz w:val="24"/>
        </w:rPr>
        <w:t>Implement an authenticated encryption pipeline leveraging AES-256-GCM inside the practitioner's browser memory (via Web Crypto API), ensuring that hospital storage servers and transport relays hold only encrypted ciphertext and 128-bit authentication tags.</w:t>
      </w:r>
    </w:p>
    <w:p>
      <w:pPr>
        <w:pStyle w:val="ListBullet"/>
        <w:spacing w:before="0" w:after="80" w:line="276" w:lineRule="auto"/>
      </w:pPr>
      <w:r>
        <w:rPr>
          <w:rFonts w:ascii="Times New Roman" w:hAnsi="Times New Roman"/>
          <w:b/>
          <w:i w:val="0"/>
          <w:color w:val="000000"/>
          <w:sz w:val="24"/>
        </w:rPr>
        <w:t xml:space="preserve">3. Consortium Smart Contract Ledger: </w:t>
      </w:r>
      <w:r>
        <w:rPr>
          <w:rFonts w:ascii="Times New Roman" w:hAnsi="Times New Roman"/>
          <w:b w:val="0"/>
          <w:i w:val="0"/>
          <w:color w:val="000000"/>
          <w:sz w:val="24"/>
        </w:rPr>
        <w:t>Develop and formally verify a Solidity smart contract (MedicalRecordLedger.sol) implementing hierarchical Role-Based Access Control (Consortium Root Admin -&gt; Hospital Admin -&gt; Doctor), cascading hospital suspensions, and immutable SHA-256 record fingerprint anchoring.</w:t>
      </w:r>
    </w:p>
    <w:p>
      <w:pPr>
        <w:pStyle w:val="ListBullet"/>
        <w:spacing w:before="0" w:after="80" w:line="276" w:lineRule="auto"/>
      </w:pPr>
      <w:r>
        <w:rPr>
          <w:rFonts w:ascii="Times New Roman" w:hAnsi="Times New Roman"/>
          <w:b/>
          <w:i w:val="0"/>
          <w:color w:val="000000"/>
          <w:sz w:val="24"/>
        </w:rPr>
        <w:t xml:space="preserve">4. Pseudonymous Query Tokenization: </w:t>
      </w:r>
      <w:r>
        <w:rPr>
          <w:rFonts w:ascii="Times New Roman" w:hAnsi="Times New Roman"/>
          <w:b w:val="0"/>
          <w:i w:val="0"/>
          <w:color w:val="000000"/>
          <w:sz w:val="24"/>
        </w:rPr>
        <w:t>Formulate a salted HMAC-SHA256 patient identification algorithm that derives deterministic 32-byte lookup tokens without exposing national identity numbers (Aadhaar/SSN) or demographic records on-chain.</w:t>
      </w:r>
    </w:p>
    <w:p>
      <w:pPr>
        <w:pStyle w:val="ListBullet"/>
        <w:spacing w:before="0" w:after="80" w:line="276" w:lineRule="auto"/>
      </w:pPr>
      <w:r>
        <w:rPr>
          <w:rFonts w:ascii="Times New Roman" w:hAnsi="Times New Roman"/>
          <w:b/>
          <w:i w:val="0"/>
          <w:color w:val="000000"/>
          <w:sz w:val="24"/>
        </w:rPr>
        <w:t xml:space="preserve">5. Biometric Workstation Gatekeeper: </w:t>
      </w:r>
      <w:r>
        <w:rPr>
          <w:rFonts w:ascii="Times New Roman" w:hAnsi="Times New Roman"/>
          <w:b w:val="0"/>
          <w:i w:val="0"/>
          <w:color w:val="000000"/>
          <w:sz w:val="24"/>
        </w:rPr>
        <w:t>Integrate hardware-compliant optical biometric fingerprint verification (500 DPI minutiae extraction) into the clinical workstation, enforcing physical practitioner presence before authorizing local AES decryption.</w:t>
      </w:r>
    </w:p>
    <w:p>
      <w:pPr>
        <w:pStyle w:val="ListBullet"/>
        <w:spacing w:before="0" w:after="80" w:line="276" w:lineRule="auto"/>
      </w:pPr>
      <w:r>
        <w:rPr>
          <w:rFonts w:ascii="Times New Roman" w:hAnsi="Times New Roman"/>
          <w:b/>
          <w:i w:val="0"/>
          <w:color w:val="000000"/>
          <w:sz w:val="24"/>
        </w:rPr>
        <w:t xml:space="preserve">6. Automated Tamper Detection Engine: </w:t>
      </w:r>
      <w:r>
        <w:rPr>
          <w:rFonts w:ascii="Times New Roman" w:hAnsi="Times New Roman"/>
          <w:b w:val="0"/>
          <w:i w:val="0"/>
          <w:color w:val="000000"/>
          <w:sz w:val="24"/>
        </w:rPr>
        <w:t>Build an interactive tamper injection and audit verification suite that proves any single-bit alteration to off-chain records is instantly rejected by the smart contract fingerprint matching engine.</w:t>
      </w:r>
    </w:p>
    <w:p>
      <w:pPr>
        <w:spacing w:before="280" w:after="120"/>
        <w:jc w:val="left"/>
      </w:pPr>
      <w:r>
        <w:rPr>
          <w:rFonts w:ascii="Times New Roman" w:hAnsi="Times New Roman"/>
          <w:b/>
          <w:i w:val="0"/>
          <w:color w:val="000000"/>
          <w:sz w:val="26"/>
        </w:rPr>
        <w:t>1.4 PROJECT SCOPE &amp; LIMITATIONS</w:t>
      </w:r>
    </w:p>
    <w:p>
      <w:pPr>
        <w:spacing w:before="0" w:after="120" w:line="276" w:lineRule="auto"/>
        <w:jc w:val="both"/>
      </w:pPr>
      <w:r>
        <w:rPr>
          <w:rFonts w:ascii="Times New Roman" w:hAnsi="Times New Roman"/>
          <w:b w:val="0"/>
          <w:i w:val="0"/>
          <w:color w:val="000000"/>
          <w:sz w:val="24"/>
        </w:rPr>
        <w:t>Project Scope: The implemented system encompasses a fully functional, multi-tier software suite consisting of: (1) Solidity smart contracts managing consortium hospital onboarding, doctor credentialing, and batch historical record migration; (2) An off-chain decentralized hospital appliance engine containerized via Docker, serving encrypted records behind hospital firewalls; (3) A TypeScript cryptographic core library executing HMAC-SHA256 key derivation, AES-256-GCM encryption/decryption, and compact QR compression; (4) A responsive clinical EMR workstation for verified attending physicians; (5) A dedicated emergency paramedic terminal optimized for mobile Google Lens optical parsing; and (6) An official Government commissioning appliance for hardware UUID binding and doctor biometric fingerprint enrolment.</w:t>
      </w:r>
    </w:p>
    <w:p>
      <w:pPr>
        <w:spacing w:before="0" w:after="120" w:line="276" w:lineRule="auto"/>
        <w:jc w:val="both"/>
      </w:pPr>
      <w:r>
        <w:rPr>
          <w:rFonts w:ascii="Times New Roman" w:hAnsi="Times New Roman"/>
          <w:b w:val="0"/>
          <w:i w:val="0"/>
          <w:color w:val="000000"/>
          <w:sz w:val="24"/>
        </w:rPr>
        <w:t>Project Limitations: While production-grade in its cryptographic and architectural implementation, the current deployment operates under specified academic boundaries: (1) Blockchain consensus is validated against a local EVM node simulating QBFT zero-gas execution rather than a public multi-validator mainnet; (2) The optical biometric sensor simulator models 500 DPI ridge extraction and minutiae matching via Web Audio and HTML Canvas simulation rather than requiring proprietary USB driver hardware; and (3) Off-chain storage endpoints are addressed via direct HTTP REST endpoints rather than peer-to-peer distributed hash tables (such as IPFS/libp2p), reflecting standard intra-hospital firewall constraints.</w:t>
      </w:r>
    </w:p>
    <w:p>
      <w:pPr>
        <w:spacing w:before="280" w:after="120"/>
        <w:jc w:val="left"/>
      </w:pPr>
      <w:r>
        <w:rPr>
          <w:rFonts w:ascii="Times New Roman" w:hAnsi="Times New Roman"/>
          <w:b/>
          <w:i w:val="0"/>
          <w:color w:val="000000"/>
          <w:sz w:val="26"/>
        </w:rPr>
        <w:t>1.5 METHODOLOGIES OF PROBLEM SOLVING</w:t>
      </w:r>
    </w:p>
    <w:p>
      <w:pPr>
        <w:spacing w:before="0" w:after="120" w:line="276" w:lineRule="auto"/>
        <w:jc w:val="both"/>
      </w:pPr>
      <w:r>
        <w:rPr>
          <w:rFonts w:ascii="Times New Roman" w:hAnsi="Times New Roman"/>
          <w:b w:val="0"/>
          <w:i w:val="0"/>
          <w:color w:val="000000"/>
          <w:sz w:val="24"/>
        </w:rPr>
        <w:t>To ensure theoretical soundness and operational stability, the development of MediQR adhered to an incremental, test-driven engineering methodology. The riskiest, foundational components were developed and mathematically verified in isolation before building user-facing application layers. The development lifecycle progressed across six distinct phases:</w:t>
      </w:r>
    </w:p>
    <w:p>
      <w:pPr>
        <w:pStyle w:val="ListBullet"/>
        <w:spacing w:before="0" w:after="80" w:line="276" w:lineRule="auto"/>
      </w:pPr>
      <w:r>
        <w:rPr>
          <w:rFonts w:ascii="Times New Roman" w:hAnsi="Times New Roman"/>
          <w:b/>
          <w:i w:val="0"/>
          <w:color w:val="000000"/>
          <w:sz w:val="24"/>
        </w:rPr>
        <w:t xml:space="preserve">Phase 1: Cryptographic Primitives &amp; Test Vectors: </w:t>
      </w:r>
      <w:r>
        <w:rPr>
          <w:rFonts w:ascii="Times New Roman" w:hAnsi="Times New Roman"/>
          <w:b w:val="0"/>
          <w:i w:val="0"/>
          <w:color w:val="000000"/>
          <w:sz w:val="24"/>
        </w:rPr>
        <w:t>Constructed the core cryptographic engine in TypeScript. Validated HMAC-SHA256 token generation and AES-256-GCM authenticated decryption against known NIST test vectors and random ciphertext bit-flip attacks.</w:t>
      </w:r>
    </w:p>
    <w:p>
      <w:pPr>
        <w:pStyle w:val="ListBullet"/>
        <w:spacing w:before="0" w:after="80" w:line="276" w:lineRule="auto"/>
      </w:pPr>
      <w:r>
        <w:rPr>
          <w:rFonts w:ascii="Times New Roman" w:hAnsi="Times New Roman"/>
          <w:b/>
          <w:i w:val="0"/>
          <w:color w:val="000000"/>
          <w:sz w:val="24"/>
        </w:rPr>
        <w:t xml:space="preserve">Phase 2: Smart Contract &amp; Consortium Governance: </w:t>
      </w:r>
      <w:r>
        <w:rPr>
          <w:rFonts w:ascii="Times New Roman" w:hAnsi="Times New Roman"/>
          <w:b w:val="0"/>
          <w:i w:val="0"/>
          <w:color w:val="000000"/>
          <w:sz w:val="24"/>
        </w:rPr>
        <w:t>Implemented MedicalRecordLedger.sol. Configured hierarchical role mappings and access modifiers (onlyActiveDoctor, onlyHospitalAdmin, onlyOwner). Validated governance boundaries and cascading doctor revocations using Hardhat unit tests.</w:t>
      </w:r>
    </w:p>
    <w:p>
      <w:pPr>
        <w:pStyle w:val="ListBullet"/>
        <w:spacing w:before="0" w:after="80" w:line="276" w:lineRule="auto"/>
      </w:pPr>
      <w:r>
        <w:rPr>
          <w:rFonts w:ascii="Times New Roman" w:hAnsi="Times New Roman"/>
          <w:b/>
          <w:i w:val="0"/>
          <w:color w:val="000000"/>
          <w:sz w:val="24"/>
        </w:rPr>
        <w:t xml:space="preserve">Phase 3: Off-Chain Appliance &amp; Dockerization: </w:t>
      </w:r>
      <w:r>
        <w:rPr>
          <w:rFonts w:ascii="Times New Roman" w:hAnsi="Times New Roman"/>
          <w:b w:val="0"/>
          <w:i w:val="0"/>
          <w:color w:val="000000"/>
          <w:sz w:val="24"/>
        </w:rPr>
        <w:t>Architected the standalone hospital storage engine running on Express and Node.js. Established isolated volume storage, health check endpoints, and tamper simulation REST interfaces.</w:t>
      </w:r>
    </w:p>
    <w:p>
      <w:pPr>
        <w:pStyle w:val="ListBullet"/>
        <w:spacing w:before="0" w:after="80" w:line="276" w:lineRule="auto"/>
      </w:pPr>
      <w:r>
        <w:rPr>
          <w:rFonts w:ascii="Times New Roman" w:hAnsi="Times New Roman"/>
          <w:b/>
          <w:i w:val="0"/>
          <w:color w:val="000000"/>
          <w:sz w:val="24"/>
        </w:rPr>
        <w:t xml:space="preserve">Phase 4: Optical Compression &amp; Lens Safety: </w:t>
      </w:r>
      <w:r>
        <w:rPr>
          <w:rFonts w:ascii="Times New Roman" w:hAnsi="Times New Roman"/>
          <w:b w:val="0"/>
          <w:i w:val="0"/>
          <w:color w:val="000000"/>
          <w:sz w:val="24"/>
        </w:rPr>
        <w:t>Designed the compact URL schema (?b=...&amp;n=...&amp;a=...) yielding Version 4 (33x33 matrix) chunky QR codes, resolving the optical moiré camera freezing issues associated with bulky JSON encoding.</w:t>
      </w:r>
    </w:p>
    <w:p>
      <w:pPr>
        <w:pStyle w:val="ListBullet"/>
        <w:spacing w:before="0" w:after="80" w:line="276" w:lineRule="auto"/>
      </w:pPr>
      <w:r>
        <w:rPr>
          <w:rFonts w:ascii="Times New Roman" w:hAnsi="Times New Roman"/>
          <w:b/>
          <w:i w:val="0"/>
          <w:color w:val="000000"/>
          <w:sz w:val="24"/>
        </w:rPr>
        <w:t xml:space="preserve">Phase 5: Workstation Decoupling &amp; Biometric Security: </w:t>
      </w:r>
      <w:r>
        <w:rPr>
          <w:rFonts w:ascii="Times New Roman" w:hAnsi="Times New Roman"/>
          <w:b w:val="0"/>
          <w:i w:val="0"/>
          <w:color w:val="000000"/>
          <w:sz w:val="24"/>
        </w:rPr>
        <w:t>Separated the clinical doctor interface from the government installer. Bound session tokens to biometric fingerprint templates and reactive state synchronization events.</w:t>
      </w:r>
    </w:p>
    <w:p>
      <w:pPr>
        <w:pStyle w:val="ListBullet"/>
        <w:spacing w:before="0" w:after="80" w:line="276" w:lineRule="auto"/>
      </w:pPr>
      <w:r>
        <w:rPr>
          <w:rFonts w:ascii="Times New Roman" w:hAnsi="Times New Roman"/>
          <w:b/>
          <w:i w:val="0"/>
          <w:color w:val="000000"/>
          <w:sz w:val="24"/>
        </w:rPr>
        <w:t xml:space="preserve">Phase 6: End-to-End System Integration: </w:t>
      </w:r>
      <w:r>
        <w:rPr>
          <w:rFonts w:ascii="Times New Roman" w:hAnsi="Times New Roman"/>
          <w:b w:val="0"/>
          <w:i w:val="0"/>
          <w:color w:val="000000"/>
          <w:sz w:val="24"/>
        </w:rPr>
        <w:t>Exercised the integrated pipeline against comprehensive penetration scenarios, bulk legacy data ingestion batches, and simulated roadside accident triage workflows.</w:t>
      </w:r>
    </w:p>
    <w:p>
      <w:r>
        <w:br w:type="page"/>
      </w:r>
    </w:p>
    <w:p>
      <w:pPr>
        <w:spacing w:before="360" w:after="360"/>
        <w:jc w:val="center"/>
      </w:pPr>
      <w:r>
        <w:rPr>
          <w:rFonts w:ascii="Times New Roman" w:hAnsi="Times New Roman"/>
          <w:b/>
          <w:i w:val="0"/>
          <w:color w:val="000000"/>
          <w:sz w:val="32"/>
        </w:rPr>
        <w:t>CHAPTER 2</w:t>
        <w:br/>
        <w:t>LITERATURE SURVEY</w:t>
      </w:r>
    </w:p>
    <w:p>
      <w:pPr>
        <w:spacing w:before="0" w:after="120" w:line="276" w:lineRule="auto"/>
        <w:jc w:val="both"/>
      </w:pPr>
      <w:r>
        <w:rPr>
          <w:rFonts w:ascii="Times New Roman" w:hAnsi="Times New Roman"/>
          <w:b w:val="0"/>
          <w:i w:val="0"/>
          <w:color w:val="000000"/>
          <w:sz w:val="24"/>
        </w:rPr>
        <w:t>Modern healthcare informatics has witnessed numerous attempts to balance record accessibility with data confidentiality. However, prior methodologies typically sacrifice one dimension of the healthcare security trilemma (universal availability, complete confidentiality, or tamper-evident integrity). This chapter surveys contemporary approaches and delineates MediQR's architectural advancements.</w:t>
      </w:r>
    </w:p>
    <w:p>
      <w:pPr>
        <w:spacing w:before="280" w:after="120"/>
        <w:jc w:val="left"/>
      </w:pPr>
      <w:r>
        <w:rPr>
          <w:rFonts w:ascii="Times New Roman" w:hAnsi="Times New Roman"/>
          <w:b/>
          <w:i w:val="0"/>
          <w:color w:val="000000"/>
          <w:sz w:val="26"/>
        </w:rPr>
        <w:t>2.1 CENTRALIZED ELECTRONIC HEALTH RECORD SYSTEMS (EPIC, CERNER)</w:t>
      </w:r>
    </w:p>
    <w:p>
      <w:pPr>
        <w:spacing w:before="0" w:after="120" w:line="276" w:lineRule="auto"/>
        <w:jc w:val="both"/>
      </w:pPr>
      <w:r>
        <w:rPr>
          <w:rFonts w:ascii="Times New Roman" w:hAnsi="Times New Roman"/>
          <w:b w:val="0"/>
          <w:i w:val="0"/>
          <w:color w:val="000000"/>
          <w:sz w:val="24"/>
        </w:rPr>
        <w:t>Commercial hospital enterprises worldwide predominantly deploy centralized Electronic Health Record (EHR) suites, exemplified by Epic Systems, Cerner Millennium, and Allscripts. These enterprise systems maintain relational databases hosted on private corporate clouds or institutional server clusters. Access control is enforced through proprietary directory protocols (Active Directory / LDAP) and role-based interface views. To facilitate inter-hospital exchange, industry bodies formulated the HL7 (Health Level Seven) and FHIR (Fast Healthcare Interoperability Resources) RESTful standards.</w:t>
      </w:r>
    </w:p>
    <w:p>
      <w:pPr>
        <w:spacing w:before="0" w:after="120" w:line="276" w:lineRule="auto"/>
        <w:jc w:val="both"/>
      </w:pPr>
      <w:r>
        <w:rPr>
          <w:rFonts w:ascii="Times New Roman" w:hAnsi="Times New Roman"/>
          <w:b w:val="0"/>
          <w:i w:val="0"/>
          <w:color w:val="000000"/>
          <w:sz w:val="24"/>
        </w:rPr>
        <w:t>Critical Vulnerabilities: While centralized EHRs excel at billing administration and departmental scheduling, they present catastrophic architectural flaws during acute emergencies: (1) Institutional Siloing: FHIR endpoints require mutual federation trust agreements, which rarely exist between competing private hospital chains or rural trauma clinics; (2) Authentication Latency: Access requires multi-factor authentication, administrative provisioning, or patient-mediated portal approvals, rendering records inaccessible when an unconscious patient arrives in an ambulance; and (3) Vulnerability to Insider Manipulation: System administrators possessing backend SQL root access can alter consultation timestamps, alter lab results, or delete malpraxis records without cryptographic detection.</w:t>
      </w:r>
    </w:p>
    <w:p>
      <w:pPr>
        <w:spacing w:before="280" w:after="120"/>
        <w:jc w:val="left"/>
      </w:pPr>
      <w:r>
        <w:rPr>
          <w:rFonts w:ascii="Times New Roman" w:hAnsi="Times New Roman"/>
          <w:b/>
          <w:i w:val="0"/>
          <w:color w:val="000000"/>
          <w:sz w:val="26"/>
        </w:rPr>
        <w:t>2.2 STANDARD BARCODE AND UNENCRYPTED MEDICAL QR CARDS</w:t>
      </w:r>
    </w:p>
    <w:p>
      <w:pPr>
        <w:spacing w:before="0" w:after="120" w:line="276" w:lineRule="auto"/>
        <w:jc w:val="both"/>
      </w:pPr>
      <w:r>
        <w:rPr>
          <w:rFonts w:ascii="Times New Roman" w:hAnsi="Times New Roman"/>
          <w:b w:val="0"/>
          <w:i w:val="0"/>
          <w:color w:val="000000"/>
          <w:sz w:val="24"/>
        </w:rPr>
        <w:t>To resolve emergency retrieval delays, several state health agencies and commercial health-tech startups experimented with physical identity cards featuring printed 1D barcodes or 2D QR codes linking directly to patient profiles or encoding unencrypted JSON text. Under these schemes, scanning the QR code displays the patient's entire medical dossier directly inside a standard web browser.</w:t>
      </w:r>
    </w:p>
    <w:p>
      <w:pPr>
        <w:spacing w:before="0" w:after="120" w:line="276" w:lineRule="auto"/>
        <w:jc w:val="both"/>
      </w:pPr>
      <w:r>
        <w:rPr>
          <w:rFonts w:ascii="Times New Roman" w:hAnsi="Times New Roman"/>
          <w:b w:val="0"/>
          <w:i w:val="0"/>
          <w:color w:val="000000"/>
          <w:sz w:val="24"/>
        </w:rPr>
        <w:t>Critical Vulnerabilities: Unencrypted optical medical cards represent a severe privacy and security liability: (1) Massive PHI Exposure: If a citizen misplaces their physical wallet or keyfob, any bystander, employer, or commercial advertiser scanning the QR code gains unrestricted visibility into sensitive medical diagnoses, psychiatric consultations, HIV status, and reproductive histories; (2) Physical Card Forgery: Plain QR codes contain no digital signatures or cryptographic seals; any malicious actor with an ordinary desktop printer can forge a fraudulent QR card claiming non-existent blood types or masking drug dependencies; and (3) Optical Matrix Congestion: Encoding comprehensive medical JSON text directly into a QR code expands the matrix to Version 10 or higher (81x81 dense grid), causing mobile smartphone cameras and Google Lens OCR parsers to freeze due to optical moiré interference.</w:t>
      </w:r>
    </w:p>
    <w:p>
      <w:pPr>
        <w:spacing w:before="280" w:after="120"/>
        <w:jc w:val="left"/>
      </w:pPr>
      <w:r>
        <w:rPr>
          <w:rFonts w:ascii="Times New Roman" w:hAnsi="Times New Roman"/>
          <w:b/>
          <w:i w:val="0"/>
          <w:color w:val="000000"/>
          <w:sz w:val="26"/>
        </w:rPr>
        <w:t>2.3 BLOCKCHAIN TIMESTAMPING AND SMART CONTRACTS IN HEALTHCARE</w:t>
      </w:r>
    </w:p>
    <w:p>
      <w:pPr>
        <w:spacing w:before="0" w:after="120" w:line="276" w:lineRule="auto"/>
        <w:jc w:val="both"/>
      </w:pPr>
      <w:r>
        <w:rPr>
          <w:rFonts w:ascii="Times New Roman" w:hAnsi="Times New Roman"/>
          <w:b w:val="0"/>
          <w:i w:val="0"/>
          <w:color w:val="000000"/>
          <w:sz w:val="24"/>
        </w:rPr>
        <w:t>With the advent of Ethereum, academic researchers proposed leveraging public distributed ledgers for healthcare. Notable prototypes include MedRec (developed by MIT researchers), which uses Ethereum smart contracts to encode medical record pointers and access permission matrices, and OmniPHR, which models personal health records across distributed topologies.</w:t>
      </w:r>
    </w:p>
    <w:p>
      <w:pPr>
        <w:spacing w:before="0" w:after="120" w:line="276" w:lineRule="auto"/>
        <w:jc w:val="both"/>
      </w:pPr>
      <w:r>
        <w:rPr>
          <w:rFonts w:ascii="Times New Roman" w:hAnsi="Times New Roman"/>
          <w:b w:val="0"/>
          <w:i w:val="0"/>
          <w:color w:val="000000"/>
          <w:sz w:val="24"/>
        </w:rPr>
        <w:t>Critical Vulnerabilities: While academic blockchain healthcare models successfully prove the utility of smart contracts for immutable logging, prior works suffer from major deployment bottlenecks: (1) Excessive Gas Costs: Attempting to store access logs or patient state transitions on public Ethereum networks incurs volatile gas fees ($5 to $50 per transaction), which is completely unacceptable for routine clinical encounters; (2) Privacy Leaks via Metadata Analysis: Even if file contents are kept off-chain, storing plaintext Ethereum wallet addresses or transaction frequencies on public ledgers allows adversaries to correlate patient identities with disease progression using network traffic analysis; and (3) Lack of Roadside Emergency Utility: Prior blockchain models exclusively focus on desktop hospital portals, providing zero functional capability for disconnected paramedic teams operating at roadside accident sites.</w:t>
      </w:r>
    </w:p>
    <w:p>
      <w:pPr>
        <w:spacing w:before="280" w:after="120"/>
        <w:jc w:val="left"/>
      </w:pPr>
      <w:r>
        <w:rPr>
          <w:rFonts w:ascii="Times New Roman" w:hAnsi="Times New Roman"/>
          <w:b/>
          <w:i w:val="0"/>
          <w:color w:val="000000"/>
          <w:sz w:val="26"/>
        </w:rPr>
        <w:t>2.4 DECENTRALIZED &amp; HYBRID STORAGE ARCHITECTURES</w:t>
      </w:r>
    </w:p>
    <w:p>
      <w:pPr>
        <w:spacing w:before="0" w:after="120" w:line="276" w:lineRule="auto"/>
        <w:jc w:val="both"/>
      </w:pPr>
      <w:r>
        <w:rPr>
          <w:rFonts w:ascii="Times New Roman" w:hAnsi="Times New Roman"/>
          <w:b w:val="0"/>
          <w:i w:val="0"/>
          <w:color w:val="000000"/>
          <w:sz w:val="24"/>
        </w:rPr>
        <w:t>To circumvent blockchain storage cost barriers, hybrid architectures emerged wherein clinical files are offloaded to distributed storage networks such as the InterPlanetary File System (IPFS) or Swarm, with content identifiers (CIDs) anchored onto smart contracts. Under this paradigm, files are addressed by their cryptographic multihashes rather than geographical IP addresses.</w:t>
      </w:r>
    </w:p>
    <w:p>
      <w:pPr>
        <w:spacing w:before="0" w:after="120" w:line="276" w:lineRule="auto"/>
        <w:jc w:val="both"/>
      </w:pPr>
      <w:r>
        <w:rPr>
          <w:rFonts w:ascii="Times New Roman" w:hAnsi="Times New Roman"/>
          <w:b w:val="0"/>
          <w:i w:val="0"/>
          <w:color w:val="000000"/>
          <w:sz w:val="24"/>
        </w:rPr>
        <w:t>Critical Vulnerabilities: Although hybrid IPFS architectures solve storage volume constraints, they introduce significant regulatory and operational compliance failures in healthcare environments: (1) Data Sovereignty Violations: IPFS public gateways replicate cached data blocks across untrusted global peer nodes, directly violating data localization mandates enforced by India's DPDP Act and the European GDPR; (2) Gateway Availability Latency: Retrieving non-pinned health records from decentralized DHT networks can take tens of seconds, which is fatal during emergency triage; and (3) Static Encryption Vulnerabilities: Many implementations utilize shared static passphrases, meaning that once an encryption key is compromised, all historical records pinned across global IPFS gateways are exposed retroactively.</w:t>
      </w:r>
    </w:p>
    <w:p>
      <w:pPr>
        <w:spacing w:before="280" w:after="120"/>
        <w:jc w:val="left"/>
      </w:pPr>
      <w:r>
        <w:rPr>
          <w:rFonts w:ascii="Times New Roman" w:hAnsi="Times New Roman"/>
          <w:b/>
          <w:i w:val="0"/>
          <w:color w:val="000000"/>
          <w:sz w:val="26"/>
        </w:rPr>
        <w:t>2.5 COMPARATIVE ANALYSIS &amp; GAP IDENTIFICATION</w:t>
      </w:r>
    </w:p>
    <w:p>
      <w:pPr>
        <w:spacing w:before="0" w:after="120" w:line="276" w:lineRule="auto"/>
        <w:jc w:val="center"/>
      </w:pPr>
      <w:r>
        <w:rPr>
          <w:rFonts w:ascii="Times New Roman" w:hAnsi="Times New Roman"/>
          <w:b/>
          <w:i w:val="0"/>
          <w:color w:val="000000"/>
          <w:sz w:val="22"/>
        </w:rPr>
        <w:t>Table 2.1: Comparing DVCS with existing version-control approaches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tcW w:type="dxa" w:w="187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Property</w:t>
            </w:r>
          </w:p>
        </w:tc>
        <w:tc>
          <w:tcPr>
            <w:tcW w:type="dxa" w:w="1728"/>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Centralized hosting (GitHub/GitLab)</w:t>
            </w:r>
          </w:p>
        </w:tc>
        <w:tc>
          <w:tcPr>
            <w:tcW w:type="dxa" w:w="158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Signed commits (GPG/SSH)</w:t>
            </w:r>
          </w:p>
        </w:tc>
        <w:tc>
          <w:tcPr>
            <w:tcW w:type="dxa" w:w="158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Blockchain timestamping</w:t>
            </w:r>
          </w:p>
        </w:tc>
        <w:tc>
          <w:tcPr>
            <w:tcW w:type="dxa" w:w="158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IPFS-style storage</w:t>
            </w:r>
          </w:p>
        </w:tc>
        <w:tc>
          <w:tcPr>
            <w:tcW w:type="dxa" w:w="1728"/>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This project (DVCS)</w:t>
            </w:r>
          </w:p>
        </w:tc>
      </w:tr>
      <w:tr>
        <w:tc>
          <w:tcPr>
            <w:tcW w:type="dxa" w:w="187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Tamper-evident commit history</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(hash chain)</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(hash chain)</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Only the anchored hash</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(storage only)</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(hash chain, plus on-chain)</w:t>
            </w:r>
          </w:p>
        </w:tc>
      </w:tr>
      <w:tr>
        <w:tc>
          <w:tcPr>
            <w:tcW w:type="dxa" w:w="187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History controlled by a single operator</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(host still decides)</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N/A</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N/A</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(contract state)</w:t>
            </w:r>
          </w:p>
        </w:tc>
      </w:tr>
      <w:tr>
        <w:tc>
          <w:tcPr>
            <w:tcW w:type="dxa" w:w="187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Enforced, on-chain access control</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(server ACL)</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(role-based, in contract)</w:t>
            </w:r>
          </w:p>
        </w:tc>
      </w:tr>
      <w:tr>
        <w:tc>
          <w:tcPr>
            <w:tcW w:type="dxa" w:w="187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Pull-request review as a system rule</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Server feature, not enforced in data</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(self-approval blocked on-chain)</w:t>
            </w:r>
          </w:p>
        </w:tc>
      </w:tr>
      <w:tr>
        <w:tc>
          <w:tcPr>
            <w:tcW w:type="dxa" w:w="187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Censorship / takedown resistance</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Low</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Low</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High (for the hash only)</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Medium</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High (for metadata and content)</w:t>
            </w:r>
          </w:p>
        </w:tc>
      </w:tr>
      <w:tr>
        <w:tc>
          <w:tcPr>
            <w:tcW w:type="dxa" w:w="187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Native branch / merge workflow</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(via Git)</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w:t>
            </w:r>
          </w:p>
        </w:tc>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Yes</w:t>
            </w:r>
          </w:p>
        </w:tc>
      </w:tr>
      <w:tr>
        <w:tc>
          <w:tcPr>
            <w:tcW w:type="dxa" w:w="187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Confidentiality mechanism</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Server-side private repo</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N/A</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N/A</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N/A (public by default)</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Client-side AES-256-GCM</w:t>
            </w:r>
          </w:p>
        </w:tc>
      </w:tr>
    </w:tbl>
    <w:p>
      <w:pPr>
        <w:spacing w:after="120"/>
      </w:pPr>
    </w:p>
    <w:p>
      <w:r>
        <w:br w:type="page"/>
      </w:r>
    </w:p>
    <w:p>
      <w:pPr>
        <w:spacing w:before="360" w:after="360"/>
        <w:jc w:val="center"/>
      </w:pPr>
      <w:r>
        <w:rPr>
          <w:rFonts w:ascii="Times New Roman" w:hAnsi="Times New Roman"/>
          <w:b/>
          <w:i w:val="0"/>
          <w:color w:val="000000"/>
          <w:sz w:val="32"/>
        </w:rPr>
        <w:t>CHAPTER 3</w:t>
        <w:br/>
        <w:t>SOFTWARE REQUIREMENTS SPECIFICATION</w:t>
      </w:r>
    </w:p>
    <w:p>
      <w:pPr>
        <w:spacing w:before="280" w:after="120"/>
        <w:jc w:val="left"/>
      </w:pPr>
      <w:r>
        <w:rPr>
          <w:rFonts w:ascii="Times New Roman" w:hAnsi="Times New Roman"/>
          <w:b/>
          <w:i w:val="0"/>
          <w:color w:val="000000"/>
          <w:sz w:val="26"/>
        </w:rPr>
        <w:t>3.1 ASSUMPTIONS AND DEPENDENCIES</w:t>
      </w:r>
    </w:p>
    <w:p>
      <w:pPr>
        <w:spacing w:before="0" w:after="120" w:line="276" w:lineRule="auto"/>
        <w:jc w:val="both"/>
      </w:pPr>
      <w:r>
        <w:rPr>
          <w:rFonts w:ascii="Times New Roman" w:hAnsi="Times New Roman"/>
          <w:b w:val="0"/>
          <w:i w:val="0"/>
          <w:color w:val="000000"/>
          <w:sz w:val="24"/>
        </w:rPr>
        <w:t>The system assumes access to an Ethereum-compatible JSON-RPC endpoint, whether a local development chain such as Hardhat or Anvil, or in principle a public testnet or mainnet, though the signing model described below currently targets a node with unlocked accounts rather than a production chain. It assumes contemporary Node.js runtimes, Docker engine for isolated appliance storage, and standard Web Crypto API support in client web browsers. It depends on zero proprietary closed-source libraries; all hashing, encryption, and contract bindings are strictly verified from open, auditable implementations.</w:t>
      </w:r>
    </w:p>
    <w:p>
      <w:pPr>
        <w:spacing w:before="280" w:after="120"/>
        <w:jc w:val="left"/>
      </w:pPr>
      <w:r>
        <w:rPr>
          <w:rFonts w:ascii="Times New Roman" w:hAnsi="Times New Roman"/>
          <w:b/>
          <w:i w:val="0"/>
          <w:color w:val="000000"/>
          <w:sz w:val="26"/>
        </w:rPr>
        <w:t>3.2 FUNCTIONAL REQUIREMENTS</w:t>
      </w:r>
    </w:p>
    <w:p>
      <w:pPr>
        <w:spacing w:before="0" w:after="120" w:line="276" w:lineRule="auto"/>
        <w:jc w:val="center"/>
      </w:pPr>
      <w:r>
        <w:rPr>
          <w:rFonts w:ascii="Times New Roman" w:hAnsi="Times New Roman"/>
          <w:b/>
          <w:i w:val="0"/>
          <w:color w:val="000000"/>
          <w:sz w:val="22"/>
        </w:rPr>
        <w:t>Table 3.1: Summary of functional requirements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00"/>
        <w:gridCol w:w="3000"/>
        <w:gridCol w:w="3000"/>
      </w:tblGrid>
      <w:tr>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ID</w:t>
            </w:r>
          </w:p>
        </w:tc>
        <w:tc>
          <w:tcPr>
            <w:tcW w:type="dxa" w:w="259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Feature</w:t>
            </w:r>
          </w:p>
        </w:tc>
        <w:tc>
          <w:tcPr>
            <w:tcW w:type="dxa" w:w="633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Description</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3.2.1</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Repository lifecycle</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Create a repository on-chain under a deterministic id; connect to an existing repository as a non-owner; flip a repository's public/private flag; transfer ownership.</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3.2.2</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Local working-directory operations</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Initialize a local .dvcs/ store; stage files honoring .dvcsignore patterns; commit staged files as a full tree snapshot; show status, log, diff, and file content without a transaction.</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3.2.3</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Branching and history rewriting (local)</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Create, list, and delete local branches; checkout a branch into the working directory; roll a branch pointer back to an earlier commit; rebase a branch onto another with a real three-way merge and explicit conflict resolution flags.</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3.2.4</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Syncing with the chain</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Push local-only commits and their file content on-chain as independently confirmed transactions; pull commit metadata and content for a branch into the local cache; resume a previously interrupted push without resending already-confirmed data.</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3.2.5</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Identity and access control</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Register and resolve a human-readable handle bound to the caller's own address; grant or revoke one of four roles (None, Reader, Contributor, Maintainer) to a collaborator by address or handle; list current collaborators.</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3.2.6</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Pull-request review workflow</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Open a PR between two existing on-chain branches; approve a PR (blocked on-chain for the PR's own author); merge a PR once the configured minimum approval count is met, with a local fast-forward pre-check; close a PR without merging; set the minimum approval count.</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3.2.7</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Confidentiality</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Initialize AES-256-GCM encryption for a repository with a passphrase; publish the (non-secret) salt on-chain so a collaborator auto-discovers it; refuse to push unencrypted content to a repository marked private; fail loudly on a wrong passphrase rather than returning corrupted data.</w:t>
            </w:r>
          </w:p>
        </w:tc>
      </w:tr>
      <w:t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3.2.8</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Auditing</w:t>
            </w:r>
          </w:p>
        </w:tc>
        <w:tc>
          <w:tcPr>
            <w:tcW w:type="dxa" w:w="63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Maintain a local, append-only changelog of every on-chain action this CLI instance has taken, with transaction hashes, independent of the chain's own event log.</w:t>
            </w:r>
          </w:p>
        </w:tc>
      </w:tr>
    </w:tbl>
    <w:p>
      <w:pPr>
        <w:spacing w:after="120"/>
      </w:pPr>
    </w:p>
    <w:p>
      <w:pPr>
        <w:spacing w:before="280" w:after="120"/>
        <w:jc w:val="left"/>
      </w:pPr>
      <w:r>
        <w:rPr>
          <w:rFonts w:ascii="Times New Roman" w:hAnsi="Times New Roman"/>
          <w:b/>
          <w:i w:val="0"/>
          <w:color w:val="000000"/>
          <w:sz w:val="26"/>
        </w:rPr>
        <w:t>3.3 EXTERNAL INTERFACE REQUIREMENTS</w:t>
      </w:r>
    </w:p>
    <w:p>
      <w:pPr>
        <w:spacing w:before="200" w:after="80"/>
        <w:jc w:val="left"/>
      </w:pPr>
      <w:r>
        <w:rPr>
          <w:rFonts w:ascii="Times New Roman" w:hAnsi="Times New Roman"/>
          <w:b/>
          <w:i w:val="0"/>
          <w:color w:val="000000"/>
          <w:sz w:val="24"/>
        </w:rPr>
        <w:t>3.3.1 User Interface</w:t>
      </w:r>
    </w:p>
    <w:p>
      <w:pPr>
        <w:spacing w:before="0" w:after="120" w:line="276" w:lineRule="auto"/>
        <w:jc w:val="both"/>
      </w:pPr>
      <w:r>
        <w:rPr>
          <w:rFonts w:ascii="Times New Roman" w:hAnsi="Times New Roman"/>
          <w:b w:val="0"/>
          <w:i w:val="0"/>
          <w:color w:val="000000"/>
          <w:sz w:val="24"/>
        </w:rPr>
        <w:t>The only user interface is the command line: dvcs &lt;command&gt; [args], with dvcs help and dvcs help &lt;command&gt; providing built-in reference text for every command at run time. There is no GUI; output is plain text designed to be both human-readable in a terminal and scriptable (consistent, grep-friendly formatting for transaction hashes, commit hashes, and status lines). Alongside this, a responsive web dashboard (/doctor and /emergency) provides visual clinical and first-responder triage views.</w:t>
      </w:r>
    </w:p>
    <w:p>
      <w:pPr>
        <w:spacing w:before="200" w:after="80"/>
        <w:jc w:val="left"/>
      </w:pPr>
      <w:r>
        <w:rPr>
          <w:rFonts w:ascii="Times New Roman" w:hAnsi="Times New Roman"/>
          <w:b/>
          <w:i w:val="0"/>
          <w:color w:val="000000"/>
          <w:sz w:val="24"/>
        </w:rPr>
        <w:t>3.3.2 Hardware Interfaces</w:t>
      </w:r>
    </w:p>
    <w:p>
      <w:pPr>
        <w:spacing w:before="0" w:after="120" w:line="276" w:lineRule="auto"/>
        <w:jc w:val="both"/>
      </w:pPr>
      <w:r>
        <w:rPr>
          <w:rFonts w:ascii="Times New Roman" w:hAnsi="Times New Roman"/>
          <w:b w:val="0"/>
          <w:i w:val="0"/>
          <w:color w:val="000000"/>
          <w:sz w:val="24"/>
        </w:rPr>
        <w:t>None beyond a standard developer workstation able to run the compiled binary and a local or remote Ethereum node. No special hardware is required.</w:t>
      </w:r>
    </w:p>
    <w:p>
      <w:pPr>
        <w:spacing w:before="200" w:after="80"/>
        <w:jc w:val="left"/>
      </w:pPr>
      <w:r>
        <w:rPr>
          <w:rFonts w:ascii="Times New Roman" w:hAnsi="Times New Roman"/>
          <w:b/>
          <w:i w:val="0"/>
          <w:color w:val="000000"/>
          <w:sz w:val="24"/>
        </w:rPr>
        <w:t>3.3.3 Software Interfaces</w:t>
      </w:r>
    </w:p>
    <w:p>
      <w:pPr>
        <w:spacing w:before="0" w:after="120" w:line="276" w:lineRule="auto"/>
        <w:jc w:val="both"/>
      </w:pPr>
      <w:r>
        <w:rPr>
          <w:rFonts w:ascii="Times New Roman" w:hAnsi="Times New Roman"/>
          <w:b w:val="0"/>
          <w:i w:val="0"/>
          <w:color w:val="000000"/>
          <w:sz w:val="24"/>
        </w:rPr>
        <w:t>The CLI communicates with any Ethereum-compatible node over JSON-RPC 2.0 (eth_call, eth_sendTransaction, eth_getLogs, eth_getTransactionReceipt, eth_accounts), implemented against Hardhat's local node during development and testing. It has no dependency on a specific node implementation beyond standard JSON-RPC method support.</w:t>
      </w:r>
    </w:p>
    <w:p>
      <w:pPr>
        <w:spacing w:before="200" w:after="80"/>
        <w:jc w:val="left"/>
      </w:pPr>
      <w:r>
        <w:rPr>
          <w:rFonts w:ascii="Times New Roman" w:hAnsi="Times New Roman"/>
          <w:b/>
          <w:i w:val="0"/>
          <w:color w:val="000000"/>
          <w:sz w:val="24"/>
        </w:rPr>
        <w:t>3.3.4 Communication Interfaces</w:t>
      </w:r>
    </w:p>
    <w:p>
      <w:pPr>
        <w:spacing w:before="0" w:after="120" w:line="276" w:lineRule="auto"/>
        <w:jc w:val="both"/>
      </w:pPr>
      <w:r>
        <w:rPr>
          <w:rFonts w:ascii="Times New Roman" w:hAnsi="Times New Roman"/>
          <w:b w:val="0"/>
          <w:i w:val="0"/>
          <w:color w:val="000000"/>
          <w:sz w:val="24"/>
        </w:rPr>
        <w:t>All chain communication is plain HTTP JSON-RPC. The RPC client retries transient transport failures with exponential backoff (up to three attempts) before surfacing an error, since a rapid sequence of requests against a local dev node was observed to occasionally drop a connection during development.</w:t>
      </w:r>
    </w:p>
    <w:p>
      <w:pPr>
        <w:spacing w:before="280" w:after="120"/>
        <w:jc w:val="left"/>
      </w:pPr>
      <w:r>
        <w:rPr>
          <w:rFonts w:ascii="Times New Roman" w:hAnsi="Times New Roman"/>
          <w:b/>
          <w:i w:val="0"/>
          <w:color w:val="000000"/>
          <w:sz w:val="26"/>
        </w:rPr>
        <w:t>3.4 NONFUNCTIONAL REQUIREMENTS</w:t>
      </w:r>
    </w:p>
    <w:p>
      <w:pPr>
        <w:spacing w:before="200" w:after="80"/>
        <w:jc w:val="left"/>
      </w:pPr>
      <w:r>
        <w:rPr>
          <w:rFonts w:ascii="Times New Roman" w:hAnsi="Times New Roman"/>
          <w:b/>
          <w:i w:val="0"/>
          <w:color w:val="000000"/>
          <w:sz w:val="24"/>
        </w:rPr>
        <w:t>3.4.1 Performance Requirements</w:t>
      </w:r>
    </w:p>
    <w:p>
      <w:pPr>
        <w:spacing w:before="0" w:after="120" w:line="276" w:lineRule="auto"/>
        <w:jc w:val="both"/>
      </w:pPr>
      <w:r>
        <w:rPr>
          <w:rFonts w:ascii="Times New Roman" w:hAnsi="Times New Roman"/>
          <w:b w:val="0"/>
          <w:i w:val="0"/>
          <w:color w:val="000000"/>
          <w:sz w:val="24"/>
        </w:rPr>
        <w:t>The CLI itself, being a natively compiled binary, starts and runs local operations (status, log, diff, commit) with negligible overhead; the dominant cost in any workflow is blockchain transaction confirmation time, which is outside the application's control. On-chain content storage is required to stay well under typical SSTORE costs by using event logs instead (roughly 16 gas per byte versus roughly 20,000 gas per 32-byte word for contract storage), which is treated as a hard design constraint.</w:t>
      </w:r>
    </w:p>
    <w:p>
      <w:pPr>
        <w:spacing w:before="200" w:after="80"/>
        <w:jc w:val="left"/>
      </w:pPr>
      <w:r>
        <w:rPr>
          <w:rFonts w:ascii="Times New Roman" w:hAnsi="Times New Roman"/>
          <w:b/>
          <w:i w:val="0"/>
          <w:color w:val="000000"/>
          <w:sz w:val="24"/>
        </w:rPr>
        <w:t>3.4.2 Safety Requirements</w:t>
      </w:r>
    </w:p>
    <w:p>
      <w:pPr>
        <w:spacing w:before="0" w:after="120" w:line="276" w:lineRule="auto"/>
        <w:jc w:val="both"/>
      </w:pPr>
      <w:r>
        <w:rPr>
          <w:rFonts w:ascii="Times New Roman" w:hAnsi="Times New Roman"/>
          <w:b w:val="0"/>
          <w:i w:val="0"/>
          <w:color w:val="000000"/>
          <w:sz w:val="24"/>
        </w:rPr>
        <w:t>No operation should be able to corrupt already-confirmed on-chain state. Every commit and every blob chunk is pushed as its own independent transaction rather than batched, specifically so that an interruption partway through a push (dropped network, killed process) cannot leave the chain in an inconsistent state; re-running push detects what already landed and skips it.</w:t>
      </w:r>
    </w:p>
    <w:p>
      <w:pPr>
        <w:spacing w:before="200" w:after="80"/>
        <w:jc w:val="left"/>
      </w:pPr>
      <w:r>
        <w:rPr>
          <w:rFonts w:ascii="Times New Roman" w:hAnsi="Times New Roman"/>
          <w:b/>
          <w:i w:val="0"/>
          <w:color w:val="000000"/>
          <w:sz w:val="24"/>
        </w:rPr>
        <w:t>3.4.3 Security Requirements</w:t>
      </w:r>
    </w:p>
    <w:p>
      <w:pPr>
        <w:spacing w:before="0" w:after="120" w:line="276" w:lineRule="auto"/>
        <w:jc w:val="both"/>
      </w:pPr>
      <w:r>
        <w:rPr>
          <w:rFonts w:ascii="Times New Roman" w:hAnsi="Times New Roman"/>
          <w:b w:val="0"/>
          <w:i w:val="0"/>
          <w:color w:val="000000"/>
          <w:sz w:val="24"/>
        </w:rPr>
        <w:t>Role checks (Contributor/Maintainer) must be enforced inside the contract itself, not only by the CLI, since a user could otherwise call the contract directly and bypass any client-side check. The self-approval rule for pull requests must hold for every account including the repository owner. Private-repository content must never be pushed unencrypted under any code path. A wrong decryption passphrase must fail via AES-GCM's own authentication check (a loud, detectable failure), never silently return corrupted plaintext.</w:t>
      </w:r>
    </w:p>
    <w:p>
      <w:pPr>
        <w:spacing w:before="200" w:after="80"/>
        <w:jc w:val="left"/>
      </w:pPr>
      <w:r>
        <w:rPr>
          <w:rFonts w:ascii="Times New Roman" w:hAnsi="Times New Roman"/>
          <w:b/>
          <w:i w:val="0"/>
          <w:color w:val="000000"/>
          <w:sz w:val="24"/>
        </w:rPr>
        <w:t>3.4.4 Software Quality Attributes</w:t>
      </w:r>
    </w:p>
    <w:p>
      <w:pPr>
        <w:spacing w:before="0" w:after="120" w:line="276" w:lineRule="auto"/>
        <w:jc w:val="both"/>
      </w:pPr>
      <w:r>
        <w:rPr>
          <w:rFonts w:ascii="Times New Roman" w:hAnsi="Times New Roman"/>
          <w:b w:val="0"/>
          <w:i w:val="0"/>
          <w:color w:val="000000"/>
          <w:sz w:val="24"/>
        </w:rPr>
        <w:t>Testability: every pure-logic component (hashing, ABI encoding, merge resolution, chunking) needed to be unit-testable without a live chain. Auditability: every on-chain action needed to leave both a chain-side event and a local changelog entry. Honesty of claims: a feature that could not actually be verified end-to-end was treated as unverified rather than documented as working.</w:t>
      </w:r>
    </w:p>
    <w:p>
      <w:pPr>
        <w:spacing w:before="280" w:after="120"/>
        <w:jc w:val="left"/>
      </w:pPr>
      <w:r>
        <w:rPr>
          <w:rFonts w:ascii="Times New Roman" w:hAnsi="Times New Roman"/>
          <w:b/>
          <w:i w:val="0"/>
          <w:color w:val="000000"/>
          <w:sz w:val="26"/>
        </w:rPr>
        <w:t>3.5 SYSTEM REQUIREMENTS</w:t>
      </w:r>
    </w:p>
    <w:p>
      <w:pPr>
        <w:spacing w:before="0" w:after="120" w:line="276" w:lineRule="auto"/>
        <w:jc w:val="center"/>
      </w:pPr>
      <w:r>
        <w:rPr>
          <w:rFonts w:ascii="Times New Roman" w:hAnsi="Times New Roman"/>
          <w:b/>
          <w:i w:val="0"/>
          <w:color w:val="000000"/>
          <w:sz w:val="22"/>
        </w:rPr>
        <w:t>Table 3.2: Hardware and software requirements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00"/>
        <w:gridCol w:w="3000"/>
        <w:gridCol w:w="3000"/>
      </w:tblGrid>
      <w:tr>
        <w:tc>
          <w:tcPr>
            <w:tcW w:type="dxa" w:w="2160"/>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Component</w:t>
            </w:r>
          </w:p>
        </w:tc>
        <w:tc>
          <w:tcPr>
            <w:tcW w:type="dxa" w:w="3600"/>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Minimum</w:t>
            </w:r>
          </w:p>
        </w:tc>
        <w:tc>
          <w:tcPr>
            <w:tcW w:type="dxa" w:w="403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Used during this project</w:t>
            </w:r>
          </w:p>
        </w:tc>
      </w:tr>
      <w:tr>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CPU</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Any x86-64 or ARM64</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Standard development workstation</w:t>
            </w:r>
          </w:p>
        </w:tc>
      </w:tr>
      <w:tr>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RAM</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2 GB free</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Sufficient for compilation and a local Hardhat node</w:t>
            </w:r>
          </w:p>
        </w:tc>
      </w:tr>
      <w:tr>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Disk</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~200 MB (toolchain + build artifacts)</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Negligible beyond toolchain install</w:t>
            </w:r>
          </w:p>
        </w:tc>
      </w:tr>
      <w:tr>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OS</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Linux, macOS, or Windows via WSL2 / Docker</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Linux / Windows 11</w:t>
            </w:r>
          </w:p>
        </w:tc>
      </w:tr>
      <w:tr>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Node.js</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v18+</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For Hardhat and solcjs</w:t>
            </w:r>
          </w:p>
        </w:tc>
      </w:tr>
      <w:tr>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Compiler</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Latest stable</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Built with native toolchain</w:t>
            </w:r>
          </w:p>
        </w:tc>
      </w:tr>
    </w:tbl>
    <w:p>
      <w:pPr>
        <w:spacing w:after="120"/>
      </w:pPr>
    </w:p>
    <w:p>
      <w:pPr>
        <w:spacing w:before="280" w:after="120"/>
        <w:jc w:val="left"/>
      </w:pPr>
      <w:r>
        <w:rPr>
          <w:rFonts w:ascii="Times New Roman" w:hAnsi="Times New Roman"/>
          <w:b/>
          <w:i w:val="0"/>
          <w:color w:val="000000"/>
          <w:sz w:val="26"/>
        </w:rPr>
        <w:t>3.6 ANALYSIS MODEL: SDLC MODEL APPLIED</w:t>
      </w:r>
    </w:p>
    <w:p>
      <w:pPr>
        <w:spacing w:before="0" w:after="120" w:line="276" w:lineRule="auto"/>
        <w:jc w:val="both"/>
      </w:pPr>
      <w:r>
        <w:rPr>
          <w:rFonts w:ascii="Times New Roman" w:hAnsi="Times New Roman"/>
          <w:b w:val="0"/>
          <w:i w:val="0"/>
          <w:color w:val="000000"/>
          <w:sz w:val="24"/>
        </w:rPr>
        <w:t>An incremental model fit this project better than a strict waterfall sequence would have, because the riskiest parts (a from-scratch Keccak-256 implementation, an ABI codec with no reference library to lean on) needed to be proven correct early, in isolation, before anything else could be trusted to sit on top of them. Each increment added one complete, independently testable capability; nothing moved to the next increment until its own unit tests, and the growing integration suite, were green.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352"/>
            <w:shd w:fill="F7F9FB"/>
            <w:tcMar>
              <w:top w:w="140" w:type="dxa"/>
              <w:bottom w:w="140" w:type="dxa"/>
              <w:left w:w="180" w:type="dxa"/>
              <w:right w:w="180" w:type="dxa"/>
            </w:tcMar>
          </w:tcPr>
          <w:p>
            <w:pPr>
              <w:spacing w:before="120" w:after="120"/>
              <w:jc w:val="center"/>
            </w:pPr>
            <w:r>
              <w:rPr>
                <w:rFonts w:ascii="Times New Roman" w:hAnsi="Times New Roman"/>
                <w:b/>
                <w:i w:val="0"/>
                <w:color w:val="28466E"/>
                <w:sz w:val="21"/>
              </w:rPr>
              <w:t>[ FIGURE 3.1 DIAGRAM PLACEHOLDER ]</w:t>
              <w:br/>
            </w:r>
            <w:r>
              <w:rPr>
                <w:rFonts w:ascii="Times New Roman" w:hAnsi="Times New Roman"/>
                <w:b w:val="0"/>
                <w:i/>
                <w:color w:val="5A5A5A"/>
                <w:sz w:val="19"/>
              </w:rPr>
              <w:t>System Schematic: Sequential pipeline showing Increment 1 (Core Crypto) through Increment 6 (Testing &amp; Demo Tooling)</w:t>
              <w:br/>
            </w:r>
            <w:r>
              <w:rPr>
                <w:rFonts w:ascii="Times New Roman" w:hAnsi="Times New Roman"/>
                <w:b w:val="0"/>
                <w:i/>
                <w:color w:val="787878"/>
                <w:sz w:val="17"/>
              </w:rPr>
              <w:t>(Save image as 'images/Figure 3.1 Incremental process model applied to this project.png' to embed automatically)</w:t>
            </w:r>
          </w:p>
        </w:tc>
      </w:tr>
    </w:tbl>
    <w:p>
      <w:pPr>
        <w:spacing w:before="80" w:after="240"/>
        <w:jc w:val="center"/>
      </w:pPr>
      <w:r>
        <w:rPr>
          <w:rFonts w:ascii="Times New Roman" w:hAnsi="Times New Roman"/>
          <w:b/>
          <w:i w:val="0"/>
          <w:color w:val="000000"/>
          <w:sz w:val="22"/>
        </w:rPr>
        <w:t xml:space="preserve">Fig. 3.1: </w:t>
      </w:r>
      <w:r>
        <w:rPr>
          <w:rFonts w:ascii="Times New Roman" w:hAnsi="Times New Roman"/>
          <w:b w:val="0"/>
          <w:i/>
          <w:color w:val="000000"/>
          <w:sz w:val="22"/>
        </w:rPr>
        <w:t>Incremental process model applied to this project</w:t>
      </w:r>
    </w:p>
    <w:p>
      <w:r>
        <w:br w:type="page"/>
      </w:r>
    </w:p>
    <w:p>
      <w:pPr>
        <w:spacing w:before="360" w:after="360"/>
        <w:jc w:val="center"/>
      </w:pPr>
      <w:r>
        <w:rPr>
          <w:rFonts w:ascii="Times New Roman" w:hAnsi="Times New Roman"/>
          <w:b/>
          <w:i w:val="0"/>
          <w:color w:val="000000"/>
          <w:sz w:val="32"/>
        </w:rPr>
        <w:t>CHAPTER 4</w:t>
        <w:br/>
        <w:t>SYSTEM DESIGN</w:t>
      </w:r>
    </w:p>
    <w:p>
      <w:pPr>
        <w:spacing w:before="280" w:after="120"/>
        <w:jc w:val="left"/>
      </w:pPr>
      <w:r>
        <w:rPr>
          <w:rFonts w:ascii="Times New Roman" w:hAnsi="Times New Roman"/>
          <w:b/>
          <w:i w:val="0"/>
          <w:color w:val="000000"/>
          <w:sz w:val="26"/>
        </w:rPr>
        <w:t>4.1 SYSTEM ARCHITECTURE</w:t>
      </w:r>
    </w:p>
    <w:p>
      <w:pPr>
        <w:spacing w:before="0" w:after="120" w:line="276" w:lineRule="auto"/>
        <w:jc w:val="both"/>
      </w:pPr>
      <w:r>
        <w:rPr>
          <w:rFonts w:ascii="Times New Roman" w:hAnsi="Times New Roman"/>
          <w:b w:val="0"/>
          <w:i w:val="0"/>
          <w:color w:val="000000"/>
          <w:sz w:val="24"/>
        </w:rPr>
        <w:t>The system splits cleanly into two tiers, and that split is itself the central design decision described further in Chapter 6: consensus-critical state lives on-chain, in the contract; everyday, fast, purely-local operations live in the client. Nothing in between needs to be trusted by the other side, because the only channel connecting them is JSON-RPC calls the client makes to a node, and every write that matters becomes a transaction anyone can independently verify afterward.</w:t>
      </w:r>
    </w:p>
    <w:p>
      <w:pPr>
        <w:spacing w:before="160" w:after="80"/>
        <w:jc w:val="center"/>
      </w:pPr>
      <w:r>
        <w:drawing>
          <wp:inline xmlns:a="http://schemas.openxmlformats.org/drawingml/2006/main" xmlns:pic="http://schemas.openxmlformats.org/drawingml/2006/picture">
            <wp:extent cx="5120640" cy="3413760"/>
            <wp:docPr id="2" name="Picture 2"/>
            <wp:cNvGraphicFramePr>
              <a:graphicFrameLocks noChangeAspect="1"/>
            </wp:cNvGraphicFramePr>
            <a:graphic>
              <a:graphicData uri="http://schemas.openxmlformats.org/drawingml/2006/picture">
                <pic:pic>
                  <pic:nvPicPr>
                    <pic:cNvPr id="0" name="Figure 4.1 System Architecture (3-Tier Decoupled Pipeline).png"/>
                    <pic:cNvPicPr/>
                  </pic:nvPicPr>
                  <pic:blipFill>
                    <a:blip r:embed="rId11"/>
                    <a:stretch>
                      <a:fillRect/>
                    </a:stretch>
                  </pic:blipFill>
                  <pic:spPr>
                    <a:xfrm>
                      <a:off x="0" y="0"/>
                      <a:ext cx="5120640" cy="3413760"/>
                    </a:xfrm>
                    <a:prstGeom prst="rect"/>
                  </pic:spPr>
                </pic:pic>
              </a:graphicData>
            </a:graphic>
          </wp:inline>
        </w:drawing>
      </w:r>
    </w:p>
    <w:p>
      <w:pPr>
        <w:spacing w:before="80" w:after="240"/>
        <w:jc w:val="center"/>
      </w:pPr>
      <w:r>
        <w:rPr>
          <w:rFonts w:ascii="Times New Roman" w:hAnsi="Times New Roman"/>
          <w:b/>
          <w:i w:val="0"/>
          <w:color w:val="000000"/>
          <w:sz w:val="22"/>
        </w:rPr>
        <w:t xml:space="preserve">Fig. 4.1: </w:t>
      </w:r>
      <w:r>
        <w:rPr>
          <w:rFonts w:ascii="Times New Roman" w:hAnsi="Times New Roman"/>
          <w:b w:val="0"/>
          <w:i/>
          <w:color w:val="000000"/>
          <w:sz w:val="22"/>
        </w:rPr>
        <w:t>System architecture: CLI client and on-chain contract</w:t>
      </w:r>
    </w:p>
    <w:p>
      <w:pPr>
        <w:spacing w:before="0" w:after="120" w:line="276" w:lineRule="auto"/>
        <w:jc w:val="both"/>
      </w:pPr>
      <w:r>
        <w:rPr>
          <w:rFonts w:ascii="Times New Roman" w:hAnsi="Times New Roman"/>
          <w:b w:val="0"/>
          <w:i w:val="0"/>
          <w:color w:val="000000"/>
          <w:sz w:val="24"/>
        </w:rPr>
        <w:t>On the client side, main is the single command dispatcher; every sub-command is a case in its dispatch table. It delegates to repo for local state (config, refs, the staging index), objects for the content-addressed blob store and Merkle tree root computation, blobs for chunking and syncing file content, merge3 for three-way merges, and rpc for all chain communication, which in turn leans on abi (call encoding/result decoding) and keccak (the hash function the EVM itself uses). crypto_local and changelog sit beside these as, respectively, the encryption layer and the local audit trail.</w:t>
      </w:r>
    </w:p>
    <w:p>
      <w:pPr>
        <w:spacing w:before="280" w:after="120"/>
        <w:jc w:val="left"/>
      </w:pPr>
      <w:r>
        <w:rPr>
          <w:rFonts w:ascii="Times New Roman" w:hAnsi="Times New Roman"/>
          <w:b/>
          <w:i w:val="0"/>
          <w:color w:val="000000"/>
          <w:sz w:val="26"/>
        </w:rPr>
        <w:t>4.2 MATHEMATICAL MODEL</w:t>
      </w:r>
    </w:p>
    <w:p>
      <w:pPr>
        <w:spacing w:before="0" w:after="120" w:line="276" w:lineRule="auto"/>
        <w:jc w:val="both"/>
      </w:pPr>
      <w:r>
        <w:rPr>
          <w:rFonts w:ascii="Times New Roman" w:hAnsi="Times New Roman"/>
          <w:b w:val="0"/>
          <w:i w:val="0"/>
          <w:color w:val="000000"/>
          <w:sz w:val="24"/>
        </w:rPr>
        <w:t>A commit's identity is fully determined by its content, not by an external counter or timestamp, which is what makes it possible for two independent clients to agree on a commit hash without coordinating: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640"/>
            <w:shd w:fill="F2F4F7"/>
            <w:tcMar>
              <w:top w:w="100" w:type="dxa"/>
              <w:bottom w:w="100" w:type="dxa"/>
              <w:left w:w="140" w:type="dxa"/>
              <w:right w:w="140" w:type="dxa"/>
            </w:tcMar>
          </w:tcPr>
          <w:p>
            <w:pPr>
              <w:spacing w:before="40" w:after="40"/>
              <w:jc w:val="left"/>
            </w:pPr>
            <w:r>
              <w:rPr>
                <w:rFonts w:ascii="Consolas" w:hAnsi="Consolas"/>
                <w:b w:val="0"/>
                <w:i w:val="0"/>
                <w:color w:val="141414"/>
                <w:sz w:val="18"/>
              </w:rPr>
              <w:t>commitHash = keccak256(</w:t>
              <w:br/>
              <w:t xml:space="preserve">    abi.encode(repoId, parent1, parent2, treeRoot, author, timestamp, message)</w:t>
              <w:br/>
              <w:t>)</w:t>
            </w:r>
          </w:p>
        </w:tc>
      </w:tr>
    </w:tbl>
    <w:p>
      <w:pPr>
        <w:spacing w:after="120"/>
      </w:pPr>
    </w:p>
    <w:p>
      <w:pPr>
        <w:spacing w:before="0" w:after="120" w:line="276" w:lineRule="auto"/>
        <w:jc w:val="both"/>
      </w:pPr>
      <w:r>
        <w:rPr>
          <w:rFonts w:ascii="Times New Roman" w:hAnsi="Times New Roman"/>
          <w:b w:val="0"/>
          <w:i w:val="0"/>
          <w:color w:val="000000"/>
          <w:sz w:val="24"/>
        </w:rPr>
        <w:t>treeRoot is the root of a Merkle tree built over every tracked file's path and content hash at that commit, computed locally in objects. Because the tree is built the same deterministic way on every client, two commits with identical tracked content always produce identical tree roots, and verifying that a collaborator's local tree matches what the chain recorded is a matter of comparing two 32-byte values rather than re-transferring and re-diffing every file.</w:t>
      </w:r>
    </w:p>
    <w:p>
      <w:pPr>
        <w:spacing w:before="0" w:after="120" w:line="276" w:lineRule="auto"/>
        <w:jc w:val="both"/>
      </w:pPr>
      <w:r>
        <w:rPr>
          <w:rFonts w:ascii="Times New Roman" w:hAnsi="Times New Roman"/>
          <w:b w:val="0"/>
          <w:i w:val="0"/>
          <w:color w:val="000000"/>
          <w:sz w:val="24"/>
        </w:rPr>
        <w:t>A repository's id is similarly derived rather than assigned:</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640"/>
            <w:shd w:fill="F2F4F7"/>
            <w:tcMar>
              <w:top w:w="100" w:type="dxa"/>
              <w:bottom w:w="100" w:type="dxa"/>
              <w:left w:w="140" w:type="dxa"/>
              <w:right w:w="140" w:type="dxa"/>
            </w:tcMar>
          </w:tcPr>
          <w:p>
            <w:pPr>
              <w:spacing w:before="40" w:after="40"/>
              <w:jc w:val="left"/>
            </w:pPr>
            <w:r>
              <w:rPr>
                <w:rFonts w:ascii="Consolas" w:hAnsi="Consolas"/>
                <w:b w:val="0"/>
                <w:i w:val="0"/>
                <w:color w:val="141414"/>
                <w:sz w:val="18"/>
              </w:rPr>
              <w:t>repoId = keccak256(abi.encode(ownerAddress, repositoryName))</w:t>
            </w:r>
          </w:p>
        </w:tc>
      </w:tr>
    </w:tbl>
    <w:p>
      <w:pPr>
        <w:spacing w:after="120"/>
      </w:pPr>
    </w:p>
    <w:p>
      <w:pPr>
        <w:spacing w:before="0" w:after="120" w:line="276" w:lineRule="auto"/>
        <w:jc w:val="both"/>
      </w:pPr>
      <w:r>
        <w:rPr>
          <w:rFonts w:ascii="Times New Roman" w:hAnsi="Times New Roman"/>
          <w:b w:val="0"/>
          <w:i w:val="0"/>
          <w:color w:val="000000"/>
          <w:sz w:val="24"/>
        </w:rPr>
        <w:t>which is why repo-connect needs no lookup step: any client can compute the exact id a given owner address and repository name will have, locally, before ever calling the contract, and the contract exposes the identical function (computeRepoId) so the two computations are checked against each other rather than assumed to agree.</w:t>
      </w:r>
    </w:p>
    <w:p>
      <w:pPr>
        <w:spacing w:before="0" w:after="120" w:line="276" w:lineRule="auto"/>
        <w:jc w:val="both"/>
      </w:pPr>
      <w:r>
        <w:rPr>
          <w:rFonts w:ascii="Times New Roman" w:hAnsi="Times New Roman"/>
          <w:b w:val="0"/>
          <w:i w:val="0"/>
          <w:color w:val="000000"/>
          <w:sz w:val="24"/>
        </w:rPr>
        <w:t>The on-chain storage cost model is the other piece of arithmetic that shaped the design directly. Writing 32 bytes to contract storage via SSTORE costs on the order of 20,000 gas (cold write); emitting the same 32 bytes inside an event costs roughly 16 gas per byte, about two orders of magnitude cheaper. For a blob of size B split into N chunks of at most MAX_CHUNK_BYTES (24 KiB) each, the approximate total cost of pushing it as events is: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640"/>
            <w:shd w:fill="F2F4F7"/>
            <w:tcMar>
              <w:top w:w="100" w:type="dxa"/>
              <w:bottom w:w="100" w:type="dxa"/>
              <w:left w:w="140" w:type="dxa"/>
              <w:right w:w="140" w:type="dxa"/>
            </w:tcMar>
          </w:tcPr>
          <w:p>
            <w:pPr>
              <w:spacing w:before="40" w:after="40"/>
              <w:jc w:val="left"/>
            </w:pPr>
            <w:r>
              <w:rPr>
                <w:rFonts w:ascii="Consolas" w:hAnsi="Consolas"/>
                <w:b w:val="0"/>
                <w:i w:val="0"/>
                <w:color w:val="141414"/>
                <w:sz w:val="18"/>
              </w:rPr>
              <w:t>cost(B) = N * (tx_base_cost + 16 * avg_chunk_bytes)</w:t>
              <w:br/>
              <w:t>where N = ceil(B / MAX_CHUNK_BYTES)</w:t>
            </w:r>
          </w:p>
        </w:tc>
      </w:tr>
    </w:tbl>
    <w:p>
      <w:pPr>
        <w:spacing w:after="120"/>
      </w:pPr>
    </w:p>
    <w:p>
      <w:pPr>
        <w:spacing w:before="0" w:after="120" w:line="276" w:lineRule="auto"/>
        <w:jc w:val="both"/>
      </w:pPr>
      <w:r>
        <w:rPr>
          <w:rFonts w:ascii="Times New Roman" w:hAnsi="Times New Roman"/>
          <w:b w:val="0"/>
          <w:i w:val="0"/>
          <w:color w:val="000000"/>
          <w:sz w:val="24"/>
        </w:rPr>
        <w:t>This is the arithmetic reason file content is pushed as BlobChunk events instead of contract storage by default, with the CID-based off-chain mode available as an alternative for large binary assets where even that cost is unattractive.</w:t>
      </w:r>
    </w:p>
    <w:p>
      <w:pPr>
        <w:spacing w:before="280" w:after="120"/>
        <w:jc w:val="left"/>
      </w:pPr>
      <w:r>
        <w:rPr>
          <w:rFonts w:ascii="Times New Roman" w:hAnsi="Times New Roman"/>
          <w:b/>
          <w:i w:val="0"/>
          <w:color w:val="000000"/>
          <w:sz w:val="26"/>
        </w:rPr>
        <w:t>4.3 DATA FLOW DIAGRAMS</w:t>
      </w:r>
    </w:p>
    <w:p>
      <w:pPr>
        <w:spacing w:before="0" w:after="120" w:line="276" w:lineRule="auto"/>
        <w:jc w:val="both"/>
      </w:pPr>
      <w:r>
        <w:rPr>
          <w:rFonts w:ascii="Times New Roman" w:hAnsi="Times New Roman"/>
          <w:b w:val="0"/>
          <w:i w:val="0"/>
          <w:color w:val="000000"/>
          <w:sz w:val="24"/>
        </w:rPr>
        <w:t>The context-level diagram below treats the whole CLI-plus-contract pair as one system boundary, since from a developer's point of view it is one tool regardless of where each command's data ends up.</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352"/>
            <w:shd w:fill="F7F9FB"/>
            <w:tcMar>
              <w:top w:w="140" w:type="dxa"/>
              <w:bottom w:w="140" w:type="dxa"/>
              <w:left w:w="180" w:type="dxa"/>
              <w:right w:w="180" w:type="dxa"/>
            </w:tcMar>
          </w:tcPr>
          <w:p>
            <w:pPr>
              <w:spacing w:before="120" w:after="120"/>
              <w:jc w:val="center"/>
            </w:pPr>
            <w:r>
              <w:rPr>
                <w:rFonts w:ascii="Times New Roman" w:hAnsi="Times New Roman"/>
                <w:b/>
                <w:i w:val="0"/>
                <w:color w:val="28466E"/>
                <w:sz w:val="21"/>
              </w:rPr>
              <w:t>[ FIGURE 4.2 DIAGRAM PLACEHOLDER ]</w:t>
              <w:br/>
            </w:r>
            <w:r>
              <w:rPr>
                <w:rFonts w:ascii="Times New Roman" w:hAnsi="Times New Roman"/>
                <w:b w:val="0"/>
                <w:i/>
                <w:color w:val="5A5A5A"/>
                <w:sz w:val="19"/>
              </w:rPr>
              <w:t>System Schematic: Level 0 Context DFD showing Repository Owner, System, Collaborator, and Blockchain Network</w:t>
              <w:br/>
            </w:r>
            <w:r>
              <w:rPr>
                <w:rFonts w:ascii="Times New Roman" w:hAnsi="Times New Roman"/>
                <w:b w:val="0"/>
                <w:i/>
                <w:color w:val="787878"/>
                <w:sz w:val="17"/>
              </w:rPr>
              <w:t>(Save image as 'images/Figure 4.2 Context-level data flow diagram (Level 0).png' to embed automatically)</w:t>
            </w:r>
          </w:p>
        </w:tc>
      </w:tr>
    </w:tbl>
    <w:p>
      <w:pPr>
        <w:spacing w:before="80" w:after="240"/>
        <w:jc w:val="center"/>
      </w:pPr>
      <w:r>
        <w:rPr>
          <w:rFonts w:ascii="Times New Roman" w:hAnsi="Times New Roman"/>
          <w:b/>
          <w:i w:val="0"/>
          <w:color w:val="000000"/>
          <w:sz w:val="22"/>
        </w:rPr>
        <w:t xml:space="preserve">Fig. 4.2: </w:t>
      </w:r>
      <w:r>
        <w:rPr>
          <w:rFonts w:ascii="Times New Roman" w:hAnsi="Times New Roman"/>
          <w:b w:val="0"/>
          <w:i/>
          <w:color w:val="000000"/>
          <w:sz w:val="22"/>
        </w:rPr>
        <w:t>Context-level data flow diagram (Level 0)</w:t>
      </w:r>
    </w:p>
    <w:p>
      <w:pPr>
        <w:spacing w:before="0" w:after="120" w:line="276" w:lineRule="auto"/>
        <w:jc w:val="both"/>
      </w:pPr>
      <w:r>
        <w:rPr>
          <w:rFonts w:ascii="Times New Roman" w:hAnsi="Times New Roman"/>
          <w:b w:val="0"/>
          <w:i w:val="0"/>
          <w:color w:val="000000"/>
          <w:sz w:val="24"/>
        </w:rPr>
        <w:t>Level 1 opens that boundary into the five process groups a developer actually interacts with, and the two data stores (local cache, on-chain ledger) that sit between them.</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352"/>
            <w:shd w:fill="F7F9FB"/>
            <w:tcMar>
              <w:top w:w="140" w:type="dxa"/>
              <w:bottom w:w="140" w:type="dxa"/>
              <w:left w:w="180" w:type="dxa"/>
              <w:right w:w="180" w:type="dxa"/>
            </w:tcMar>
          </w:tcPr>
          <w:p>
            <w:pPr>
              <w:spacing w:before="120" w:after="120"/>
              <w:jc w:val="center"/>
            </w:pPr>
            <w:r>
              <w:rPr>
                <w:rFonts w:ascii="Times New Roman" w:hAnsi="Times New Roman"/>
                <w:b/>
                <w:i w:val="0"/>
                <w:color w:val="28466E"/>
                <w:sz w:val="21"/>
              </w:rPr>
              <w:t>[ FIGURE 4.3 DIAGRAM PLACEHOLDER ]</w:t>
              <w:br/>
            </w:r>
            <w:r>
              <w:rPr>
                <w:rFonts w:ascii="Times New Roman" w:hAnsi="Times New Roman"/>
                <w:b w:val="0"/>
                <w:i/>
                <w:color w:val="5A5A5A"/>
                <w:sz w:val="19"/>
              </w:rPr>
              <w:t>System Schematic: Level 1 DFD showing Stage &amp; Commit, Push, Review &amp; Merge, Identity Management, and Pull operations</w:t>
              <w:br/>
            </w:r>
            <w:r>
              <w:rPr>
                <w:rFonts w:ascii="Times New Roman" w:hAnsi="Times New Roman"/>
                <w:b w:val="0"/>
                <w:i/>
                <w:color w:val="787878"/>
                <w:sz w:val="17"/>
              </w:rPr>
              <w:t>(Save image as 'images/Figure 4.3 Data flow diagram, Level 1.png' to embed automatically)</w:t>
            </w:r>
          </w:p>
        </w:tc>
      </w:tr>
    </w:tbl>
    <w:p>
      <w:pPr>
        <w:spacing w:before="80" w:after="240"/>
        <w:jc w:val="center"/>
      </w:pPr>
      <w:r>
        <w:rPr>
          <w:rFonts w:ascii="Times New Roman" w:hAnsi="Times New Roman"/>
          <w:b/>
          <w:i w:val="0"/>
          <w:color w:val="000000"/>
          <w:sz w:val="22"/>
        </w:rPr>
        <w:t xml:space="preserve">Fig. 4.3: </w:t>
      </w:r>
      <w:r>
        <w:rPr>
          <w:rFonts w:ascii="Times New Roman" w:hAnsi="Times New Roman"/>
          <w:b w:val="0"/>
          <w:i/>
          <w:color w:val="000000"/>
          <w:sz w:val="22"/>
        </w:rPr>
        <w:t>Data flow diagram, Level 1</w:t>
      </w:r>
    </w:p>
    <w:p>
      <w:pPr>
        <w:spacing w:before="0" w:after="120" w:line="276" w:lineRule="auto"/>
        <w:jc w:val="both"/>
      </w:pPr>
      <w:r>
        <w:rPr>
          <w:rFonts w:ascii="Times New Roman" w:hAnsi="Times New Roman"/>
          <w:b w:val="0"/>
          <w:i w:val="0"/>
          <w:color w:val="000000"/>
          <w:sz w:val="24"/>
        </w:rPr>
        <w:t>Level 2 expands the Push process specifically, since it is the one with the most internal steps and the one whose resilience properties matter most.</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352"/>
            <w:shd w:fill="F7F9FB"/>
            <w:tcMar>
              <w:top w:w="140" w:type="dxa"/>
              <w:bottom w:w="140" w:type="dxa"/>
              <w:left w:w="180" w:type="dxa"/>
              <w:right w:w="180" w:type="dxa"/>
            </w:tcMar>
          </w:tcPr>
          <w:p>
            <w:pPr>
              <w:spacing w:before="120" w:after="120"/>
              <w:jc w:val="center"/>
            </w:pPr>
            <w:r>
              <w:rPr>
                <w:rFonts w:ascii="Times New Roman" w:hAnsi="Times New Roman"/>
                <w:b/>
                <w:i w:val="0"/>
                <w:color w:val="28466E"/>
                <w:sz w:val="21"/>
              </w:rPr>
              <w:t>[ FIGURE 4.4 DIAGRAM PLACEHOLDER ]</w:t>
              <w:br/>
            </w:r>
            <w:r>
              <w:rPr>
                <w:rFonts w:ascii="Times New Roman" w:hAnsi="Times New Roman"/>
                <w:b w:val="0"/>
                <w:i/>
                <w:color w:val="5A5A5A"/>
                <w:sz w:val="19"/>
              </w:rPr>
              <w:t>System Schematic: Level 2 DFD showing Commit Hash Calculation, Chunking, Encryption, and On-Chain Transaction Submission</w:t>
              <w:br/>
            </w:r>
            <w:r>
              <w:rPr>
                <w:rFonts w:ascii="Times New Roman" w:hAnsi="Times New Roman"/>
                <w:b w:val="0"/>
                <w:i/>
                <w:color w:val="787878"/>
                <w:sz w:val="17"/>
              </w:rPr>
              <w:t>(Save image as 'images/Figure 4.4 Data flow diagram, Level 2 (expansion of the Push process).png' to embed automatically)</w:t>
            </w:r>
          </w:p>
        </w:tc>
      </w:tr>
    </w:tbl>
    <w:p>
      <w:pPr>
        <w:spacing w:before="80" w:after="240"/>
        <w:jc w:val="center"/>
      </w:pPr>
      <w:r>
        <w:rPr>
          <w:rFonts w:ascii="Times New Roman" w:hAnsi="Times New Roman"/>
          <w:b/>
          <w:i w:val="0"/>
          <w:color w:val="000000"/>
          <w:sz w:val="22"/>
        </w:rPr>
        <w:t xml:space="preserve">Fig. 4.4: </w:t>
      </w:r>
      <w:r>
        <w:rPr>
          <w:rFonts w:ascii="Times New Roman" w:hAnsi="Times New Roman"/>
          <w:b w:val="0"/>
          <w:i/>
          <w:color w:val="000000"/>
          <w:sz w:val="22"/>
        </w:rPr>
        <w:t>Data flow diagram, Level 2 (expansion of the Push process)</w:t>
      </w:r>
    </w:p>
    <w:p>
      <w:pPr>
        <w:spacing w:before="280" w:after="120"/>
        <w:jc w:val="left"/>
      </w:pPr>
      <w:r>
        <w:rPr>
          <w:rFonts w:ascii="Times New Roman" w:hAnsi="Times New Roman"/>
          <w:b/>
          <w:i w:val="0"/>
          <w:color w:val="000000"/>
          <w:sz w:val="26"/>
        </w:rPr>
        <w:t>4.4 ENTITY RELATIONSHIP / DATA MODEL DIAGRAM</w:t>
      </w:r>
    </w:p>
    <w:p>
      <w:pPr>
        <w:spacing w:before="0" w:after="120" w:line="276" w:lineRule="auto"/>
        <w:jc w:val="both"/>
      </w:pPr>
      <w:r>
        <w:rPr>
          <w:rFonts w:ascii="Times New Roman" w:hAnsi="Times New Roman"/>
          <w:b w:val="0"/>
          <w:i w:val="0"/>
          <w:color w:val="000000"/>
          <w:sz w:val="24"/>
        </w:rPr>
        <w:t>The contract has no relational database underneath it, so there is no schema in the SQL sense, but its storage layout still forms a clear entity graph: a repository owns commits, branches, tags, and members; branches point at commits; pull requests reference a source and target branch; commits reference their file content indirectly through BlobChunk events keyed by a blob id. The diagram below presents this on-chain data model in the same entity/attribute/relationship style as a conventional ER diagram.</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352"/>
            <w:shd w:fill="F7F9FB"/>
            <w:tcMar>
              <w:top w:w="140" w:type="dxa"/>
              <w:bottom w:w="140" w:type="dxa"/>
              <w:left w:w="180" w:type="dxa"/>
              <w:right w:w="180" w:type="dxa"/>
            </w:tcMar>
          </w:tcPr>
          <w:p>
            <w:pPr>
              <w:spacing w:before="120" w:after="120"/>
              <w:jc w:val="center"/>
            </w:pPr>
            <w:r>
              <w:rPr>
                <w:rFonts w:ascii="Times New Roman" w:hAnsi="Times New Roman"/>
                <w:b/>
                <w:i w:val="0"/>
                <w:color w:val="28466E"/>
                <w:sz w:val="21"/>
              </w:rPr>
              <w:t>[ FIGURE 4.5 DIAGRAM PLACEHOLDER ]</w:t>
              <w:br/>
            </w:r>
            <w:r>
              <w:rPr>
                <w:rFonts w:ascii="Times New Roman" w:hAnsi="Times New Roman"/>
                <w:b w:val="0"/>
                <w:i/>
                <w:color w:val="5A5A5A"/>
                <w:sz w:val="19"/>
              </w:rPr>
              <w:t>System Schematic: Entity Relationship model linking Repository, Branch, Commit, BlobChunk, PullRequest, Member, and Identity</w:t>
              <w:br/>
            </w:r>
            <w:r>
              <w:rPr>
                <w:rFonts w:ascii="Times New Roman" w:hAnsi="Times New Roman"/>
                <w:b w:val="0"/>
                <w:i/>
                <w:color w:val="787878"/>
                <w:sz w:val="17"/>
              </w:rPr>
              <w:t>(Save image as 'images/Figure 4.5 On-chain data model.png' to embed automatically)</w:t>
            </w:r>
          </w:p>
        </w:tc>
      </w:tr>
    </w:tbl>
    <w:p>
      <w:pPr>
        <w:spacing w:before="80" w:after="240"/>
        <w:jc w:val="center"/>
      </w:pPr>
      <w:r>
        <w:rPr>
          <w:rFonts w:ascii="Times New Roman" w:hAnsi="Times New Roman"/>
          <w:b/>
          <w:i w:val="0"/>
          <w:color w:val="000000"/>
          <w:sz w:val="22"/>
        </w:rPr>
        <w:t xml:space="preserve">Fig. 4.5: </w:t>
      </w:r>
      <w:r>
        <w:rPr>
          <w:rFonts w:ascii="Times New Roman" w:hAnsi="Times New Roman"/>
          <w:b w:val="0"/>
          <w:i/>
          <w:color w:val="000000"/>
          <w:sz w:val="22"/>
        </w:rPr>
        <w:t>On-chain data model</w:t>
      </w:r>
    </w:p>
    <w:p>
      <w:pPr>
        <w:spacing w:before="280" w:after="120"/>
        <w:jc w:val="left"/>
      </w:pPr>
      <w:r>
        <w:rPr>
          <w:rFonts w:ascii="Times New Roman" w:hAnsi="Times New Roman"/>
          <w:b/>
          <w:i w:val="0"/>
          <w:color w:val="000000"/>
          <w:sz w:val="26"/>
        </w:rPr>
        <w:t>4.5 UML DIAGRAMS</w:t>
      </w:r>
    </w:p>
    <w:p>
      <w:pPr>
        <w:spacing w:before="200" w:after="80"/>
        <w:jc w:val="left"/>
      </w:pPr>
      <w:r>
        <w:rPr>
          <w:rFonts w:ascii="Times New Roman" w:hAnsi="Times New Roman"/>
          <w:b/>
          <w:i w:val="0"/>
          <w:color w:val="000000"/>
          <w:sz w:val="24"/>
        </w:rPr>
        <w:t>Use Case Diagram</w:t>
      </w:r>
    </w:p>
    <w:p>
      <w:pPr>
        <w:spacing w:before="0" w:after="120" w:line="276" w:lineRule="auto"/>
        <w:jc w:val="both"/>
      </w:pPr>
      <w:r>
        <w:rPr>
          <w:rFonts w:ascii="Times New Roman" w:hAnsi="Times New Roman"/>
          <w:b w:val="0"/>
          <w:i w:val="0"/>
          <w:color w:val="000000"/>
          <w:sz w:val="24"/>
        </w:rPr>
        <w:t>Three roles cover every interaction the contract recognizes: an owner (who can do anything, including manage roles and visibility), a contributor (who can push and open PRs but not approve or administer), and a maintainer (who reviews, merges, and manages collaborators). A reader role also exists for repository visibility but has no write-side use cases and is omitted from the diagram for clarity.</w:t>
      </w:r>
    </w:p>
    <w:p>
      <w:pPr>
        <w:spacing w:before="160" w:after="80"/>
        <w:jc w:val="center"/>
      </w:pPr>
      <w:r>
        <w:drawing>
          <wp:inline xmlns:a="http://schemas.openxmlformats.org/drawingml/2006/main" xmlns:pic="http://schemas.openxmlformats.org/drawingml/2006/picture">
            <wp:extent cx="5120640" cy="4716235"/>
            <wp:docPr id="3" name="Picture 3"/>
            <wp:cNvGraphicFramePr>
              <a:graphicFrameLocks noChangeAspect="1"/>
            </wp:cNvGraphicFramePr>
            <a:graphic>
              <a:graphicData uri="http://schemas.openxmlformats.org/drawingml/2006/picture">
                <pic:pic>
                  <pic:nvPicPr>
                    <pic:cNvPr id="0" name="Figure 4.6 UML Use Case Diagram.png"/>
                    <pic:cNvPicPr/>
                  </pic:nvPicPr>
                  <pic:blipFill>
                    <a:blip r:embed="rId12"/>
                    <a:stretch>
                      <a:fillRect/>
                    </a:stretch>
                  </pic:blipFill>
                  <pic:spPr>
                    <a:xfrm>
                      <a:off x="0" y="0"/>
                      <a:ext cx="5120640" cy="4716235"/>
                    </a:xfrm>
                    <a:prstGeom prst="rect"/>
                  </pic:spPr>
                </pic:pic>
              </a:graphicData>
            </a:graphic>
          </wp:inline>
        </w:drawing>
      </w:r>
    </w:p>
    <w:p>
      <w:pPr>
        <w:spacing w:before="80" w:after="240"/>
        <w:jc w:val="center"/>
      </w:pPr>
      <w:r>
        <w:rPr>
          <w:rFonts w:ascii="Times New Roman" w:hAnsi="Times New Roman"/>
          <w:b/>
          <w:i w:val="0"/>
          <w:color w:val="000000"/>
          <w:sz w:val="22"/>
        </w:rPr>
        <w:t xml:space="preserve">Fig. 4.6: </w:t>
      </w:r>
      <w:r>
        <w:rPr>
          <w:rFonts w:ascii="Times New Roman" w:hAnsi="Times New Roman"/>
          <w:b w:val="0"/>
          <w:i/>
          <w:color w:val="000000"/>
          <w:sz w:val="22"/>
        </w:rPr>
        <w:t>Use case diagram</w:t>
      </w:r>
    </w:p>
    <w:p>
      <w:pPr>
        <w:spacing w:before="200" w:after="80"/>
        <w:jc w:val="left"/>
      </w:pPr>
      <w:r>
        <w:rPr>
          <w:rFonts w:ascii="Times New Roman" w:hAnsi="Times New Roman"/>
          <w:b/>
          <w:i w:val="0"/>
          <w:color w:val="000000"/>
          <w:sz w:val="24"/>
        </w:rPr>
        <w:t>Sequence Diagram</w:t>
      </w:r>
    </w:p>
    <w:p>
      <w:pPr>
        <w:spacing w:before="0" w:after="120" w:line="276" w:lineRule="auto"/>
        <w:jc w:val="both"/>
      </w:pPr>
      <w:r>
        <w:rPr>
          <w:rFonts w:ascii="Times New Roman" w:hAnsi="Times New Roman"/>
          <w:b w:val="0"/>
          <w:i w:val="0"/>
          <w:color w:val="000000"/>
          <w:sz w:val="24"/>
        </w:rPr>
        <w:t>The push flow is the clearest example of the on-chain/off-chain split in motion: the expensive-looking 'compute tree root, chunk the blob' work happens entirely client-side before a single transaction is sent, and what finally reaches the chain is three separable transaction types (commit, N blob chunks, branch update), each independently confirmed rather than bundled into one.</w:t>
      </w:r>
    </w:p>
    <w:p>
      <w:pPr>
        <w:spacing w:before="160" w:after="80"/>
        <w:jc w:val="center"/>
      </w:pPr>
      <w:r>
        <w:drawing>
          <wp:inline xmlns:a="http://schemas.openxmlformats.org/drawingml/2006/main" xmlns:pic="http://schemas.openxmlformats.org/drawingml/2006/picture">
            <wp:extent cx="5120640" cy="3169374"/>
            <wp:docPr id="4" name="Picture 4"/>
            <wp:cNvGraphicFramePr>
              <a:graphicFrameLocks noChangeAspect="1"/>
            </wp:cNvGraphicFramePr>
            <a:graphic>
              <a:graphicData uri="http://schemas.openxmlformats.org/drawingml/2006/picture">
                <pic:pic>
                  <pic:nvPicPr>
                    <pic:cNvPr id="0" name="Figure 4.7 UML Sequence Diagram (Cross-Hospital Verification).png"/>
                    <pic:cNvPicPr/>
                  </pic:nvPicPr>
                  <pic:blipFill>
                    <a:blip r:embed="rId13"/>
                    <a:stretch>
                      <a:fillRect/>
                    </a:stretch>
                  </pic:blipFill>
                  <pic:spPr>
                    <a:xfrm>
                      <a:off x="0" y="0"/>
                      <a:ext cx="5120640" cy="3169374"/>
                    </a:xfrm>
                    <a:prstGeom prst="rect"/>
                  </pic:spPr>
                </pic:pic>
              </a:graphicData>
            </a:graphic>
          </wp:inline>
        </w:drawing>
      </w:r>
    </w:p>
    <w:p>
      <w:pPr>
        <w:spacing w:before="80" w:after="240"/>
        <w:jc w:val="center"/>
      </w:pPr>
      <w:r>
        <w:rPr>
          <w:rFonts w:ascii="Times New Roman" w:hAnsi="Times New Roman"/>
          <w:b/>
          <w:i w:val="0"/>
          <w:color w:val="000000"/>
          <w:sz w:val="22"/>
        </w:rPr>
        <w:t xml:space="preserve">Fig. 4.7: </w:t>
      </w:r>
      <w:r>
        <w:rPr>
          <w:rFonts w:ascii="Times New Roman" w:hAnsi="Times New Roman"/>
          <w:b w:val="0"/>
          <w:i/>
          <w:color w:val="000000"/>
          <w:sz w:val="22"/>
        </w:rPr>
        <w:t>Sequence diagram: push flow</w:t>
      </w:r>
    </w:p>
    <w:p>
      <w:pPr>
        <w:spacing w:before="200" w:after="80"/>
        <w:jc w:val="left"/>
      </w:pPr>
      <w:r>
        <w:rPr>
          <w:rFonts w:ascii="Times New Roman" w:hAnsi="Times New Roman"/>
          <w:b/>
          <w:i w:val="0"/>
          <w:color w:val="000000"/>
          <w:sz w:val="24"/>
        </w:rPr>
        <w:t>Class / Module Diagram</w:t>
      </w:r>
    </w:p>
    <w:p>
      <w:pPr>
        <w:spacing w:before="0" w:after="120" w:line="276" w:lineRule="auto"/>
        <w:jc w:val="both"/>
      </w:pPr>
      <w:r>
        <w:rPr>
          <w:rFonts w:ascii="Times New Roman" w:hAnsi="Times New Roman"/>
          <w:b w:val="0"/>
          <w:i w:val="0"/>
          <w:color w:val="000000"/>
          <w:sz w:val="24"/>
        </w:rPr>
        <w:t>The CLI is organized as focused plain modules and structs. The diagram below reads each box as a module and its public functions, which is the closest honest equivalent to a class diagram for a codebase structured this way.</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352"/>
            <w:shd w:fill="F7F9FB"/>
            <w:tcMar>
              <w:top w:w="140" w:type="dxa"/>
              <w:bottom w:w="140" w:type="dxa"/>
              <w:left w:w="180" w:type="dxa"/>
              <w:right w:w="180" w:type="dxa"/>
            </w:tcMar>
          </w:tcPr>
          <w:p>
            <w:pPr>
              <w:spacing w:before="120" w:after="120"/>
              <w:jc w:val="center"/>
            </w:pPr>
            <w:r>
              <w:rPr>
                <w:rFonts w:ascii="Times New Roman" w:hAnsi="Times New Roman"/>
                <w:b/>
                <w:i w:val="0"/>
                <w:color w:val="28466E"/>
                <w:sz w:val="21"/>
              </w:rPr>
              <w:t>[ FIGURE 4.8 DIAGRAM PLACEHOLDER ]</w:t>
              <w:br/>
            </w:r>
            <w:r>
              <w:rPr>
                <w:rFonts w:ascii="Times New Roman" w:hAnsi="Times New Roman"/>
                <w:b w:val="0"/>
                <w:i/>
                <w:color w:val="5A5A5A"/>
                <w:sz w:val="19"/>
              </w:rPr>
              <w:t>System Schematic: Class and structural module diagram of CLI dispatcher, Repo, ObjectStore, BlobSync, Merge3, and Crypto</w:t>
              <w:br/>
            </w:r>
            <w:r>
              <w:rPr>
                <w:rFonts w:ascii="Times New Roman" w:hAnsi="Times New Roman"/>
                <w:b w:val="0"/>
                <w:i/>
                <w:color w:val="787878"/>
                <w:sz w:val="17"/>
              </w:rPr>
              <w:t>(Save image as 'images/Figure 4.8 Class / module diagram.png' to embed automatically)</w:t>
            </w:r>
          </w:p>
        </w:tc>
      </w:tr>
    </w:tbl>
    <w:p>
      <w:pPr>
        <w:spacing w:before="80" w:after="240"/>
        <w:jc w:val="center"/>
      </w:pPr>
      <w:r>
        <w:rPr>
          <w:rFonts w:ascii="Times New Roman" w:hAnsi="Times New Roman"/>
          <w:b/>
          <w:i w:val="0"/>
          <w:color w:val="000000"/>
          <w:sz w:val="22"/>
        </w:rPr>
        <w:t xml:space="preserve">Fig. 4.8: </w:t>
      </w:r>
      <w:r>
        <w:rPr>
          <w:rFonts w:ascii="Times New Roman" w:hAnsi="Times New Roman"/>
          <w:b w:val="0"/>
          <w:i/>
          <w:color w:val="000000"/>
          <w:sz w:val="22"/>
        </w:rPr>
        <w:t>Class / module diagram</w:t>
      </w:r>
    </w:p>
    <w:p>
      <w:pPr>
        <w:spacing w:before="200" w:after="80"/>
        <w:jc w:val="left"/>
      </w:pPr>
      <w:r>
        <w:rPr>
          <w:rFonts w:ascii="Times New Roman" w:hAnsi="Times New Roman"/>
          <w:b/>
          <w:i w:val="0"/>
          <w:color w:val="000000"/>
          <w:sz w:val="24"/>
        </w:rPr>
        <w:t>Component Diagram</w:t>
      </w:r>
    </w:p>
    <w:p>
      <w:pPr>
        <w:spacing w:before="0" w:after="120" w:line="276" w:lineRule="auto"/>
        <w:jc w:val="both"/>
      </w:pPr>
      <w:r>
        <w:rPr>
          <w:rFonts w:ascii="Times New Roman" w:hAnsi="Times New Roman"/>
          <w:b w:val="0"/>
          <w:i w:val="0"/>
          <w:color w:val="000000"/>
          <w:sz w:val="24"/>
        </w:rPr>
        <w:t>The component architecture details the clean boundaries between Command Dispatcher, Merge Engine, Local Repo Store, RPC Client, ABI Codec, Crypto Module, and Smart Contract.</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352"/>
            <w:shd w:fill="F7F9FB"/>
            <w:tcMar>
              <w:top w:w="140" w:type="dxa"/>
              <w:bottom w:w="140" w:type="dxa"/>
              <w:left w:w="180" w:type="dxa"/>
              <w:right w:w="180" w:type="dxa"/>
            </w:tcMar>
          </w:tcPr>
          <w:p>
            <w:pPr>
              <w:spacing w:before="120" w:after="120"/>
              <w:jc w:val="center"/>
            </w:pPr>
            <w:r>
              <w:rPr>
                <w:rFonts w:ascii="Times New Roman" w:hAnsi="Times New Roman"/>
                <w:b/>
                <w:i w:val="0"/>
                <w:color w:val="28466E"/>
                <w:sz w:val="21"/>
              </w:rPr>
              <w:t>[ FIGURE 4.9 DIAGRAM PLACEHOLDER ]</w:t>
              <w:br/>
            </w:r>
            <w:r>
              <w:rPr>
                <w:rFonts w:ascii="Times New Roman" w:hAnsi="Times New Roman"/>
                <w:b w:val="0"/>
                <w:i/>
                <w:color w:val="5A5A5A"/>
                <w:sz w:val="19"/>
              </w:rPr>
              <w:t>System Schematic: Component diagram showing frontend dispatch, RPC client, crypto codec, and smart contract bindings</w:t>
              <w:br/>
            </w:r>
            <w:r>
              <w:rPr>
                <w:rFonts w:ascii="Times New Roman" w:hAnsi="Times New Roman"/>
                <w:b w:val="0"/>
                <w:i/>
                <w:color w:val="787878"/>
                <w:sz w:val="17"/>
              </w:rPr>
              <w:t>(Save image as 'images/Figure 4.9 Component diagram.png' to embed automatically)</w:t>
            </w:r>
          </w:p>
        </w:tc>
      </w:tr>
    </w:tbl>
    <w:p>
      <w:pPr>
        <w:spacing w:before="80" w:after="240"/>
        <w:jc w:val="center"/>
      </w:pPr>
      <w:r>
        <w:rPr>
          <w:rFonts w:ascii="Times New Roman" w:hAnsi="Times New Roman"/>
          <w:b/>
          <w:i w:val="0"/>
          <w:color w:val="000000"/>
          <w:sz w:val="22"/>
        </w:rPr>
        <w:t xml:space="preserve">Fig. 4.9: </w:t>
      </w:r>
      <w:r>
        <w:rPr>
          <w:rFonts w:ascii="Times New Roman" w:hAnsi="Times New Roman"/>
          <w:b w:val="0"/>
          <w:i/>
          <w:color w:val="000000"/>
          <w:sz w:val="22"/>
        </w:rPr>
        <w:t>Component diagram</w:t>
      </w:r>
    </w:p>
    <w:p>
      <w:pPr>
        <w:spacing w:before="200" w:after="80"/>
        <w:jc w:val="left"/>
      </w:pPr>
      <w:r>
        <w:rPr>
          <w:rFonts w:ascii="Times New Roman" w:hAnsi="Times New Roman"/>
          <w:b/>
          <w:i w:val="0"/>
          <w:color w:val="000000"/>
          <w:sz w:val="24"/>
        </w:rPr>
        <w:t>Deployment Diagram</w:t>
      </w:r>
    </w:p>
    <w:p>
      <w:pPr>
        <w:spacing w:before="0" w:after="120" w:line="276" w:lineRule="auto"/>
        <w:jc w:val="both"/>
      </w:pPr>
      <w:r>
        <w:rPr>
          <w:rFonts w:ascii="Times New Roman" w:hAnsi="Times New Roman"/>
          <w:b w:val="0"/>
          <w:i w:val="0"/>
          <w:color w:val="000000"/>
          <w:sz w:val="24"/>
        </w:rPr>
        <w:t>Every developer runs their own copy of the CLI binary against their own local object store; the only shared component is whichever Ethereum-compatible node they all point their remote configuration at.</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352"/>
            <w:shd w:fill="F7F9FB"/>
            <w:tcMar>
              <w:top w:w="140" w:type="dxa"/>
              <w:bottom w:w="140" w:type="dxa"/>
              <w:left w:w="180" w:type="dxa"/>
              <w:right w:w="180" w:type="dxa"/>
            </w:tcMar>
          </w:tcPr>
          <w:p>
            <w:pPr>
              <w:spacing w:before="120" w:after="120"/>
              <w:jc w:val="center"/>
            </w:pPr>
            <w:r>
              <w:rPr>
                <w:rFonts w:ascii="Times New Roman" w:hAnsi="Times New Roman"/>
                <w:b/>
                <w:i w:val="0"/>
                <w:color w:val="28466E"/>
                <w:sz w:val="21"/>
              </w:rPr>
              <w:t>[ FIGURE 4.10 DIAGRAM PLACEHOLDER ]</w:t>
              <w:br/>
            </w:r>
            <w:r>
              <w:rPr>
                <w:rFonts w:ascii="Times New Roman" w:hAnsi="Times New Roman"/>
                <w:b w:val="0"/>
                <w:i/>
                <w:color w:val="5A5A5A"/>
                <w:sz w:val="19"/>
              </w:rPr>
              <w:t>System Schematic: Deployment topology showing Developer Machines with local store connecting via JSON-RPC to EVM Node</w:t>
              <w:br/>
            </w:r>
            <w:r>
              <w:rPr>
                <w:rFonts w:ascii="Times New Roman" w:hAnsi="Times New Roman"/>
                <w:b w:val="0"/>
                <w:i/>
                <w:color w:val="787878"/>
                <w:sz w:val="17"/>
              </w:rPr>
              <w:t>(Save image as 'images/Figure 4.10 Deployment diagram.png' to embed automatically)</w:t>
            </w:r>
          </w:p>
        </w:tc>
      </w:tr>
    </w:tbl>
    <w:p>
      <w:pPr>
        <w:spacing w:before="80" w:after="240"/>
        <w:jc w:val="center"/>
      </w:pPr>
      <w:r>
        <w:rPr>
          <w:rFonts w:ascii="Times New Roman" w:hAnsi="Times New Roman"/>
          <w:b/>
          <w:i w:val="0"/>
          <w:color w:val="000000"/>
          <w:sz w:val="22"/>
        </w:rPr>
        <w:t xml:space="preserve">Fig. 4.10: </w:t>
      </w:r>
      <w:r>
        <w:rPr>
          <w:rFonts w:ascii="Times New Roman" w:hAnsi="Times New Roman"/>
          <w:b w:val="0"/>
          <w:i/>
          <w:color w:val="000000"/>
          <w:sz w:val="22"/>
        </w:rPr>
        <w:t>Deployment diagram</w:t>
      </w:r>
    </w:p>
    <w:p>
      <w:pPr>
        <w:spacing w:before="200" w:after="80"/>
        <w:jc w:val="left"/>
      </w:pPr>
      <w:r>
        <w:rPr>
          <w:rFonts w:ascii="Times New Roman" w:hAnsi="Times New Roman"/>
          <w:b/>
          <w:i w:val="0"/>
          <w:color w:val="000000"/>
          <w:sz w:val="24"/>
        </w:rPr>
        <w:t>State Diagram: Pull-Request Lifecycle</w:t>
      </w:r>
    </w:p>
    <w:p>
      <w:pPr>
        <w:spacing w:before="0" w:after="120" w:line="276" w:lineRule="auto"/>
        <w:jc w:val="both"/>
      </w:pPr>
      <w:r>
        <w:rPr>
          <w:rFonts w:ascii="Times New Roman" w:hAnsi="Times New Roman"/>
          <w:b w:val="0"/>
          <w:i w:val="0"/>
          <w:color w:val="000000"/>
          <w:sz w:val="24"/>
        </w:rPr>
        <w:t>A pull request has exactly four reachable states, and the transitions between them are exactly the ones the contract enforces, not a larger set the CLI merely suggests: an author cannot push it from Open to Approved by approving their own work, and Merged is only reachable through a fast-forward the contract itself checks at merge time.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352"/>
            <w:shd w:fill="F7F9FB"/>
            <w:tcMar>
              <w:top w:w="140" w:type="dxa"/>
              <w:bottom w:w="140" w:type="dxa"/>
              <w:left w:w="180" w:type="dxa"/>
              <w:right w:w="180" w:type="dxa"/>
            </w:tcMar>
          </w:tcPr>
          <w:p>
            <w:pPr>
              <w:spacing w:before="120" w:after="120"/>
              <w:jc w:val="center"/>
            </w:pPr>
            <w:r>
              <w:rPr>
                <w:rFonts w:ascii="Times New Roman" w:hAnsi="Times New Roman"/>
                <w:b/>
                <w:i w:val="0"/>
                <w:color w:val="28466E"/>
                <w:sz w:val="21"/>
              </w:rPr>
              <w:t>[ FIGURE 4.11 DIAGRAM PLACEHOLDER ]</w:t>
              <w:br/>
            </w:r>
            <w:r>
              <w:rPr>
                <w:rFonts w:ascii="Times New Roman" w:hAnsi="Times New Roman"/>
                <w:b w:val="0"/>
                <w:i/>
                <w:color w:val="5A5A5A"/>
                <w:sz w:val="19"/>
              </w:rPr>
              <w:t>System Schematic: State Machine Diagram showing Open -&gt; Approved -&gt; Merged / Closed states with guard conditions</w:t>
              <w:br/>
            </w:r>
            <w:r>
              <w:rPr>
                <w:rFonts w:ascii="Times New Roman" w:hAnsi="Times New Roman"/>
                <w:b w:val="0"/>
                <w:i/>
                <w:color w:val="787878"/>
                <w:sz w:val="17"/>
              </w:rPr>
              <w:t>(Save image as 'images/Figure 4.11 State diagram: pull-request lifecycle.png' to embed automatically)</w:t>
            </w:r>
          </w:p>
        </w:tc>
      </w:tr>
    </w:tbl>
    <w:p>
      <w:pPr>
        <w:spacing w:before="80" w:after="240"/>
        <w:jc w:val="center"/>
      </w:pPr>
      <w:r>
        <w:rPr>
          <w:rFonts w:ascii="Times New Roman" w:hAnsi="Times New Roman"/>
          <w:b/>
          <w:i w:val="0"/>
          <w:color w:val="000000"/>
          <w:sz w:val="22"/>
        </w:rPr>
        <w:t xml:space="preserve">Fig. 4.11: </w:t>
      </w:r>
      <w:r>
        <w:rPr>
          <w:rFonts w:ascii="Times New Roman" w:hAnsi="Times New Roman"/>
          <w:b w:val="0"/>
          <w:i/>
          <w:color w:val="000000"/>
          <w:sz w:val="22"/>
        </w:rPr>
        <w:t>State diagram: pull-request lifecycle</w:t>
      </w:r>
    </w:p>
    <w:p>
      <w:r>
        <w:br w:type="page"/>
      </w:r>
    </w:p>
    <w:p>
      <w:pPr>
        <w:spacing w:before="360" w:after="360"/>
        <w:jc w:val="center"/>
      </w:pPr>
      <w:r>
        <w:rPr>
          <w:rFonts w:ascii="Times New Roman" w:hAnsi="Times New Roman"/>
          <w:b/>
          <w:i w:val="0"/>
          <w:color w:val="000000"/>
          <w:sz w:val="32"/>
        </w:rPr>
        <w:t>CHAPTER 5</w:t>
        <w:br/>
        <w:t>PROJECT PLAN</w:t>
      </w:r>
    </w:p>
    <w:p>
      <w:pPr>
        <w:spacing w:before="280" w:after="120"/>
        <w:jc w:val="left"/>
      </w:pPr>
      <w:r>
        <w:rPr>
          <w:rFonts w:ascii="Times New Roman" w:hAnsi="Times New Roman"/>
          <w:b/>
          <w:i w:val="0"/>
          <w:color w:val="000000"/>
          <w:sz w:val="26"/>
        </w:rPr>
        <w:t>5.1 PROJECT ESTIMATE</w:t>
      </w:r>
    </w:p>
    <w:p>
      <w:pPr>
        <w:spacing w:before="200" w:after="80"/>
        <w:jc w:val="left"/>
      </w:pPr>
      <w:r>
        <w:rPr>
          <w:rFonts w:ascii="Times New Roman" w:hAnsi="Times New Roman"/>
          <w:b/>
          <w:i w:val="0"/>
          <w:color w:val="000000"/>
          <w:sz w:val="24"/>
        </w:rPr>
        <w:t>5.1.1 Reconciled Estimates</w:t>
      </w:r>
    </w:p>
    <w:p>
      <w:pPr>
        <w:spacing w:before="0" w:after="120" w:line="276" w:lineRule="auto"/>
        <w:jc w:val="both"/>
      </w:pPr>
      <w:r>
        <w:rPr>
          <w:rFonts w:ascii="Times New Roman" w:hAnsi="Times New Roman"/>
          <w:b w:val="0"/>
          <w:i w:val="0"/>
          <w:color w:val="000000"/>
          <w:sz w:val="24"/>
        </w:rPr>
        <w:t>Effort was planned around the same increments described in Section 3.6, since each one was independently estimable: the contract core and the from-scratch cryptographic primitives were expected, correctly, to take the largest share of early effort, because nothing above them could be trusted until Keccak-256 and the ABI codec were each verified against external references rather than just against each other.</w:t>
      </w:r>
    </w:p>
    <w:p>
      <w:pPr>
        <w:spacing w:before="200" w:after="80"/>
        <w:jc w:val="left"/>
      </w:pPr>
      <w:r>
        <w:rPr>
          <w:rFonts w:ascii="Times New Roman" w:hAnsi="Times New Roman"/>
          <w:b/>
          <w:i w:val="0"/>
          <w:color w:val="000000"/>
          <w:sz w:val="24"/>
        </w:rPr>
        <w:t>5.1.2 Project Resources</w:t>
      </w:r>
    </w:p>
    <w:p>
      <w:pPr>
        <w:pStyle w:val="ListBullet"/>
        <w:spacing w:before="0" w:after="80" w:line="276" w:lineRule="auto"/>
      </w:pPr>
      <w:r>
        <w:rPr>
          <w:rFonts w:ascii="Times New Roman" w:hAnsi="Times New Roman"/>
          <w:b/>
          <w:i w:val="0"/>
          <w:color w:val="000000"/>
          <w:sz w:val="24"/>
        </w:rPr>
        <w:t xml:space="preserve">Workstations: </w:t>
      </w:r>
      <w:r>
        <w:rPr>
          <w:rFonts w:ascii="Times New Roman" w:hAnsi="Times New Roman"/>
          <w:b w:val="0"/>
          <w:i w:val="0"/>
          <w:color w:val="000000"/>
          <w:sz w:val="24"/>
        </w:rPr>
        <w:t>One development machine running Linux/Windows, with native compiler, Node.js, and solcjs installed locally.</w:t>
      </w:r>
    </w:p>
    <w:p>
      <w:pPr>
        <w:pStyle w:val="ListBullet"/>
        <w:spacing w:before="0" w:after="80" w:line="276" w:lineRule="auto"/>
      </w:pPr>
      <w:r>
        <w:rPr>
          <w:rFonts w:ascii="Times New Roman" w:hAnsi="Times New Roman"/>
          <w:b/>
          <w:i w:val="0"/>
          <w:color w:val="000000"/>
          <w:sz w:val="24"/>
        </w:rPr>
        <w:t xml:space="preserve">EVM Node: </w:t>
      </w:r>
      <w:r>
        <w:rPr>
          <w:rFonts w:ascii="Times New Roman" w:hAnsi="Times New Roman"/>
          <w:b w:val="0"/>
          <w:i w:val="0"/>
          <w:color w:val="000000"/>
          <w:sz w:val="24"/>
        </w:rPr>
        <w:t>A local Hardhat node for every test run, redeployed fresh each time rather than reused, so no test could pass only because of leftover state from a previous run.</w:t>
      </w:r>
    </w:p>
    <w:p>
      <w:pPr>
        <w:pStyle w:val="ListBullet"/>
        <w:spacing w:before="0" w:after="80" w:line="276" w:lineRule="auto"/>
      </w:pPr>
      <w:r>
        <w:rPr>
          <w:rFonts w:ascii="Times New Roman" w:hAnsi="Times New Roman"/>
          <w:b/>
          <w:i w:val="0"/>
          <w:color w:val="000000"/>
          <w:sz w:val="24"/>
        </w:rPr>
        <w:t xml:space="preserve">Infrastructure: </w:t>
      </w:r>
      <w:r>
        <w:rPr>
          <w:rFonts w:ascii="Times New Roman" w:hAnsi="Times New Roman"/>
          <w:b w:val="0"/>
          <w:i w:val="0"/>
          <w:color w:val="000000"/>
          <w:sz w:val="24"/>
        </w:rPr>
        <w:t>No paid infrastructure, no public testnet deployment, and no external services beyond package registries used during development.</w:t>
      </w:r>
    </w:p>
    <w:p>
      <w:pPr>
        <w:spacing w:before="280" w:after="120"/>
        <w:jc w:val="left"/>
      </w:pPr>
      <w:r>
        <w:rPr>
          <w:rFonts w:ascii="Times New Roman" w:hAnsi="Times New Roman"/>
          <w:b/>
          <w:i w:val="0"/>
          <w:color w:val="000000"/>
          <w:sz w:val="26"/>
        </w:rPr>
        <w:t>5.2 RISK MANAGEMENT</w:t>
      </w:r>
    </w:p>
    <w:p>
      <w:pPr>
        <w:spacing w:before="0" w:after="120" w:line="276" w:lineRule="auto"/>
        <w:jc w:val="center"/>
      </w:pPr>
      <w:r>
        <w:rPr>
          <w:rFonts w:ascii="Times New Roman" w:hAnsi="Times New Roman"/>
          <w:b/>
          <w:i w:val="0"/>
          <w:color w:val="000000"/>
          <w:sz w:val="22"/>
        </w:rPr>
        <w:t>Table 5.1: Project task set and effort estimate</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type="dxa" w:w="2160"/>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Risk</w:t>
            </w:r>
          </w:p>
        </w:tc>
        <w:tc>
          <w:tcPr>
            <w:tcW w:type="dxa" w:w="158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Likelihood</w:t>
            </w:r>
          </w:p>
        </w:tc>
        <w:tc>
          <w:tcPr>
            <w:tcW w:type="dxa" w:w="201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Impact</w:t>
            </w:r>
          </w:p>
        </w:tc>
        <w:tc>
          <w:tcPr>
            <w:tcW w:type="dxa" w:w="403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Mitigation actually taken</w:t>
            </w:r>
          </w:p>
        </w:tc>
      </w:tr>
      <w:tr>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 from-scratch Keccak-256 implementation is subtly wrong</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Medium</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Critical (breaks everything)</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Checked against known Ethereum test vectors, including the real ERC-20 transfer selector, before any other module depended on it</w:t>
            </w:r>
          </w:p>
        </w:tc>
      </w:tr>
      <w:tr>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Hand-written ABI encoding diverges from what the EVM / other tools expect</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Medium</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Critical</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Checked byte-for-byte against live ethers.js output rather than only against hand-derived expected values</w:t>
            </w:r>
          </w:p>
        </w:tc>
      </w:tr>
      <w:tr>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Backend compiler hangs compiling a project this size</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Occurred during development</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High (blocks all builds)</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Root-caused to the default compiler backend internal self-check; fixed by building with documented required flag</w:t>
            </w:r>
          </w:p>
        </w:tc>
      </w:tr>
      <w:tr>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An interrupted push leaves on-chain state partially written</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Medium</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High (data integrity)</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Every commit and blob chunk is its own independently confirmed transaction; blobAnnounced / commitExists let a re-run skip what already landed</w:t>
            </w:r>
          </w:p>
        </w:tc>
      </w:tr>
      <w:tr>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'Private' repositories are only private by label, not in fact</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High if unaddressed</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High (false security)</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CLI refuses to push unencrypted content to a repo marked private; real AES-256-GCM encryption is required before anything is sent</w:t>
            </w:r>
          </w:p>
        </w:tc>
      </w:tr>
      <w:tr>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Self-approval of a pull request by its own author</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High if unenforced</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Medium</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Enforced inside the contract itself (tested against both a non-owner author and the owner acting as author), not only suggested by the CLI</w:t>
            </w:r>
          </w:p>
        </w:tc>
      </w:tr>
      <w:tr>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Transient RPC failures against a local dev node under rapid requests</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Observed during integration testing</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Medium</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Added retry-with-backoff (up to 3 attempts) to the RPC client after the integration suite first surfaced the flakiness</w:t>
            </w:r>
          </w:p>
        </w:tc>
      </w:tr>
    </w:tbl>
    <w:p>
      <w:pPr>
        <w:spacing w:after="120"/>
      </w:pPr>
    </w:p>
    <w:p>
      <w:pPr>
        <w:spacing w:before="280" w:after="120"/>
        <w:jc w:val="left"/>
      </w:pPr>
      <w:r>
        <w:rPr>
          <w:rFonts w:ascii="Times New Roman" w:hAnsi="Times New Roman"/>
          <w:b/>
          <w:i w:val="0"/>
          <w:color w:val="000000"/>
          <w:sz w:val="26"/>
        </w:rPr>
        <w:t>5.3 PROJECT SCHEDULE</w:t>
      </w:r>
    </w:p>
    <w:p>
      <w:pPr>
        <w:spacing w:before="200" w:after="80"/>
        <w:jc w:val="left"/>
      </w:pPr>
      <w:r>
        <w:rPr>
          <w:rFonts w:ascii="Times New Roman" w:hAnsi="Times New Roman"/>
          <w:b/>
          <w:i w:val="0"/>
          <w:color w:val="000000"/>
          <w:sz w:val="24"/>
        </w:rPr>
        <w:t>5.3.1 Project Task Set</w:t>
      </w:r>
    </w:p>
    <w:p>
      <w:pPr>
        <w:spacing w:before="0" w:after="120" w:line="276" w:lineRule="auto"/>
        <w:jc w:val="center"/>
      </w:pPr>
      <w:r>
        <w:rPr>
          <w:rFonts w:ascii="Times New Roman" w:hAnsi="Times New Roman"/>
          <w:b/>
          <w:i w:val="0"/>
          <w:color w:val="000000"/>
          <w:sz w:val="22"/>
        </w:rPr>
        <w:t>Table 5.2: Risk register</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00"/>
        <w:gridCol w:w="3000"/>
        <w:gridCol w:w="3000"/>
      </w:tblGrid>
      <w:tr>
        <w:tc>
          <w:tcPr>
            <w:tcW w:type="dxa" w:w="547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Task</w:t>
            </w:r>
          </w:p>
        </w:tc>
        <w:tc>
          <w:tcPr>
            <w:tcW w:type="dxa" w:w="201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Depends on</w:t>
            </w:r>
          </w:p>
        </w:tc>
        <w:tc>
          <w:tcPr>
            <w:tcW w:type="dxa" w:w="201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Weeks</w:t>
            </w:r>
          </w:p>
        </w:tc>
      </w:tr>
      <w:tr>
        <w:tc>
          <w:tcPr>
            <w:tcW w:type="dxa" w:w="547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T1. Contract core (repositories, commits, branches, roles) + Keccak-256 + ABI codec</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w:t>
            </w:r>
          </w:p>
        </w:tc>
        <w:tc>
          <w:tcPr>
            <w:tcW w:type="dxa" w:w="201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w:t>
            </w:r>
          </w:p>
        </w:tc>
      </w:tr>
      <w:tr>
        <w:tc>
          <w:tcPr>
            <w:tcW w:type="dxa" w:w="547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T2. Local object store, staging, commit, push, pull</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T1</w:t>
            </w:r>
          </w:p>
        </w:tc>
        <w:tc>
          <w:tcPr>
            <w:tcW w:type="dxa" w:w="201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w:t>
            </w:r>
          </w:p>
        </w:tc>
      </w:tr>
      <w:tr>
        <w:tc>
          <w:tcPr>
            <w:tcW w:type="dxa" w:w="547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T3. Branching, rollback, three-way merge, rebase</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T2</w:t>
            </w:r>
          </w:p>
        </w:tc>
        <w:tc>
          <w:tcPr>
            <w:tcW w:type="dxa" w:w="201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w:t>
            </w:r>
          </w:p>
        </w:tc>
      </w:tr>
      <w:tr>
        <w:tc>
          <w:tcPr>
            <w:tcW w:type="dxa" w:w="547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T4. Identity registry, role-based access, AES-256-GCM encryption</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T2</w:t>
            </w:r>
          </w:p>
        </w:tc>
        <w:tc>
          <w:tcPr>
            <w:tcW w:type="dxa" w:w="201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w:t>
            </w:r>
          </w:p>
        </w:tc>
      </w:tr>
      <w:tr>
        <w:tc>
          <w:tcPr>
            <w:tcW w:type="dxa" w:w="547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T5. Pull-request workflow, self-approval rule, fast-forward pre-check</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T3, T4</w:t>
            </w:r>
          </w:p>
        </w:tc>
        <w:tc>
          <w:tcPr>
            <w:tcW w:type="dxa" w:w="201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w:t>
            </w:r>
          </w:p>
        </w:tc>
      </w:tr>
      <w:tr>
        <w:tc>
          <w:tcPr>
            <w:tcW w:type="dxa" w:w="547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T6. Unit test suites alongside each module</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running throughout</w:t>
            </w:r>
          </w:p>
        </w:tc>
        <w:tc>
          <w:tcPr>
            <w:tcW w:type="dxa" w:w="201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2.5</w:t>
            </w:r>
          </w:p>
        </w:tc>
      </w:tr>
      <w:tr>
        <w:tc>
          <w:tcPr>
            <w:tcW w:type="dxa" w:w="547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T7. Integration test suite against a real local chain</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T5</w:t>
            </w:r>
          </w:p>
        </w:tc>
        <w:tc>
          <w:tcPr>
            <w:tcW w:type="dxa" w:w="201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1.5</w:t>
            </w:r>
          </w:p>
        </w:tc>
      </w:tr>
      <w:tr>
        <w:tc>
          <w:tcPr>
            <w:tcW w:type="dxa" w:w="547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T8. Documentation, Docker image, demo tooling</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T7</w:t>
            </w:r>
          </w:p>
        </w:tc>
        <w:tc>
          <w:tcPr>
            <w:tcW w:type="dxa" w:w="201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1.5</w:t>
            </w:r>
          </w:p>
        </w:tc>
      </w:tr>
    </w:tbl>
    <w:p>
      <w:pPr>
        <w:spacing w:after="120"/>
      </w:pPr>
    </w:p>
    <w:p>
      <w:pPr>
        <w:spacing w:before="200" w:after="80"/>
        <w:jc w:val="left"/>
      </w:pPr>
      <w:r>
        <w:rPr>
          <w:rFonts w:ascii="Times New Roman" w:hAnsi="Times New Roman"/>
          <w:b/>
          <w:i w:val="0"/>
          <w:color w:val="000000"/>
          <w:sz w:val="24"/>
        </w:rPr>
        <w:t>5.3.2 Task Network</w:t>
      </w:r>
    </w:p>
    <w:p>
      <w:pPr>
        <w:spacing w:before="0" w:after="120" w:line="276" w:lineRule="auto"/>
        <w:jc w:val="both"/>
      </w:pPr>
      <w:r>
        <w:rPr>
          <w:rFonts w:ascii="Times New Roman" w:hAnsi="Times New Roman"/>
          <w:b w:val="0"/>
          <w:i w:val="0"/>
          <w:color w:val="000000"/>
          <w:sz w:val="24"/>
        </w:rPr>
        <w:t>T1 blocks everything, since every later module either calls the contract or depends on Keccak-256/ABI encoding being correct. T3 and T4 could run in either order relative to each other (branching logic and identity/encryption are independent of one another) but both had to land before T5, since pull requests reference branches and are gated by roles. T6 ran continuously alongside every other task rather than as a separate phase, which is why its own duration overlaps the others in the chart below.</w:t>
      </w:r>
    </w:p>
    <w:p>
      <w:pPr>
        <w:spacing w:before="200" w:after="80"/>
        <w:jc w:val="left"/>
      </w:pPr>
      <w:r>
        <w:rPr>
          <w:rFonts w:ascii="Times New Roman" w:hAnsi="Times New Roman"/>
          <w:b/>
          <w:i w:val="0"/>
          <w:color w:val="000000"/>
          <w:sz w:val="24"/>
        </w:rPr>
        <w:t>5.3.3 Timeline Chart</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352"/>
            <w:shd w:fill="F7F9FB"/>
            <w:tcMar>
              <w:top w:w="140" w:type="dxa"/>
              <w:bottom w:w="140" w:type="dxa"/>
              <w:left w:w="180" w:type="dxa"/>
              <w:right w:w="180" w:type="dxa"/>
            </w:tcMar>
          </w:tcPr>
          <w:p>
            <w:pPr>
              <w:spacing w:before="120" w:after="120"/>
              <w:jc w:val="center"/>
            </w:pPr>
            <w:r>
              <w:rPr>
                <w:rFonts w:ascii="Times New Roman" w:hAnsi="Times New Roman"/>
                <w:b/>
                <w:i w:val="0"/>
                <w:color w:val="28466E"/>
                <w:sz w:val="21"/>
              </w:rPr>
              <w:t>[ FIGURE 5.1 DIAGRAM PLACEHOLDER ]</w:t>
              <w:br/>
            </w:r>
            <w:r>
              <w:rPr>
                <w:rFonts w:ascii="Times New Roman" w:hAnsi="Times New Roman"/>
                <w:b w:val="0"/>
                <w:i/>
                <w:color w:val="5A5A5A"/>
                <w:sz w:val="19"/>
              </w:rPr>
              <w:t>System Schematic: 12-Week project development timeline illustrating WBS tasks from T1 to T8</w:t>
              <w:br/>
            </w:r>
            <w:r>
              <w:rPr>
                <w:rFonts w:ascii="Times New Roman" w:hAnsi="Times New Roman"/>
                <w:b w:val="0"/>
                <w:i/>
                <w:color w:val="787878"/>
                <w:sz w:val="17"/>
              </w:rPr>
              <w:t>(Save image as 'images/Figure 5.1 Project timeline (Gantt chart).png' to embed automatically)</w:t>
            </w:r>
          </w:p>
        </w:tc>
      </w:tr>
    </w:tbl>
    <w:p>
      <w:pPr>
        <w:spacing w:before="80" w:after="240"/>
        <w:jc w:val="center"/>
      </w:pPr>
      <w:r>
        <w:rPr>
          <w:rFonts w:ascii="Times New Roman" w:hAnsi="Times New Roman"/>
          <w:b/>
          <w:i w:val="0"/>
          <w:color w:val="000000"/>
          <w:sz w:val="22"/>
        </w:rPr>
        <w:t xml:space="preserve">Fig. 5.1: </w:t>
      </w:r>
      <w:r>
        <w:rPr>
          <w:rFonts w:ascii="Times New Roman" w:hAnsi="Times New Roman"/>
          <w:b w:val="0"/>
          <w:i/>
          <w:color w:val="000000"/>
          <w:sz w:val="22"/>
        </w:rPr>
        <w:t>Project timeline (Gantt chart)</w:t>
      </w:r>
    </w:p>
    <w:p>
      <w:pPr>
        <w:spacing w:before="280" w:after="120"/>
        <w:jc w:val="left"/>
      </w:pPr>
      <w:r>
        <w:rPr>
          <w:rFonts w:ascii="Times New Roman" w:hAnsi="Times New Roman"/>
          <w:b/>
          <w:i w:val="0"/>
          <w:color w:val="000000"/>
          <w:sz w:val="26"/>
        </w:rPr>
        <w:t>5.4 TEAM ORGANIZATION</w:t>
      </w:r>
    </w:p>
    <w:p>
      <w:pPr>
        <w:spacing w:before="200" w:after="80"/>
        <w:jc w:val="left"/>
      </w:pPr>
      <w:r>
        <w:rPr>
          <w:rFonts w:ascii="Times New Roman" w:hAnsi="Times New Roman"/>
          <w:b/>
          <w:i w:val="0"/>
          <w:color w:val="000000"/>
          <w:sz w:val="24"/>
        </w:rPr>
        <w:t>5.4.1 Team Structure</w:t>
      </w:r>
    </w:p>
    <w:p>
      <w:pPr>
        <w:spacing w:before="0" w:after="120" w:line="276" w:lineRule="auto"/>
        <w:jc w:val="both"/>
      </w:pPr>
      <w:r>
        <w:rPr>
          <w:rFonts w:ascii="Times New Roman" w:hAnsi="Times New Roman"/>
          <w:b w:val="0"/>
          <w:i w:val="0"/>
          <w:color w:val="000000"/>
          <w:sz w:val="24"/>
        </w:rPr>
        <w:t>The project was carried out by the student group named on the cover page of this report, under the supervision of the assigned project guide, following the department's standard review structure (Review I through Review IV) for tracking progress against the project book.</w:t>
      </w:r>
    </w:p>
    <w:p>
      <w:pPr>
        <w:spacing w:before="200" w:after="80"/>
        <w:jc w:val="left"/>
      </w:pPr>
      <w:r>
        <w:rPr>
          <w:rFonts w:ascii="Times New Roman" w:hAnsi="Times New Roman"/>
          <w:b/>
          <w:i w:val="0"/>
          <w:color w:val="000000"/>
          <w:sz w:val="24"/>
        </w:rPr>
        <w:t>5.4.2 Management Reporting and Communication</w:t>
      </w:r>
    </w:p>
    <w:p>
      <w:pPr>
        <w:spacing w:before="0" w:after="120" w:line="276" w:lineRule="auto"/>
        <w:jc w:val="both"/>
      </w:pPr>
      <w:r>
        <w:rPr>
          <w:rFonts w:ascii="Times New Roman" w:hAnsi="Times New Roman"/>
          <w:b w:val="0"/>
          <w:i w:val="0"/>
          <w:color w:val="000000"/>
          <w:sz w:val="24"/>
        </w:rPr>
        <w:t>Progress was reported at each scheduled department review, with working code and test results demonstrated rather than only slides, since a claim like 'self-approval is blocked' is only meaningful once it has actually been run against a live chain and shown to fail the way it is supposed to.</w:t>
      </w:r>
    </w:p>
    <w:p>
      <w:r>
        <w:br w:type="page"/>
      </w:r>
    </w:p>
    <w:p>
      <w:pPr>
        <w:spacing w:before="360" w:after="360"/>
        <w:jc w:val="center"/>
      </w:pPr>
      <w:r>
        <w:rPr>
          <w:rFonts w:ascii="Times New Roman" w:hAnsi="Times New Roman"/>
          <w:b/>
          <w:i w:val="0"/>
          <w:color w:val="000000"/>
          <w:sz w:val="32"/>
        </w:rPr>
        <w:t>CHAPTER 6</w:t>
        <w:br/>
        <w:t>PROJECT IMPLEMENTATION</w:t>
      </w:r>
    </w:p>
    <w:p>
      <w:pPr>
        <w:spacing w:before="280" w:after="120"/>
        <w:jc w:val="left"/>
      </w:pPr>
      <w:r>
        <w:rPr>
          <w:rFonts w:ascii="Times New Roman" w:hAnsi="Times New Roman"/>
          <w:b/>
          <w:i w:val="0"/>
          <w:color w:val="000000"/>
          <w:sz w:val="26"/>
        </w:rPr>
        <w:t>6.1 OVERVIEW OF PROJECT MODULES</w:t>
      </w:r>
    </w:p>
    <w:p>
      <w:pPr>
        <w:spacing w:before="0" w:after="120" w:line="276" w:lineRule="auto"/>
        <w:jc w:val="both"/>
      </w:pPr>
      <w:r>
        <w:rPr>
          <w:rFonts w:ascii="Times New Roman" w:hAnsi="Times New Roman"/>
          <w:b w:val="0"/>
          <w:i w:val="0"/>
          <w:color w:val="000000"/>
          <w:sz w:val="24"/>
        </w:rPr>
        <w:t>The contract, contracts/DVCS.sol, is roughly 760 lines of Solidity and owns all consensus-critical state: repositories, commits, branches, tags, roles, pull requests, and the identity registry. The CLI, under cli/, is about 4,850 lines split across focused modules, each covering one concern: main for command dispatch, repo for local repository state, objects for the content-addressed blob store, blobs for chunked sync, merge3 for three-way merges, crypto_local for AES-256-GCM, abi and keccak for talking the EVM's own language, rpc for JSON-RPC, changelog for the local audit trail, and ignore for pattern matching. Every one of these modules has a matching test file beside it.</w:t>
      </w:r>
    </w:p>
    <w:p>
      <w:pPr>
        <w:spacing w:before="280" w:after="120"/>
        <w:jc w:val="left"/>
      </w:pPr>
      <w:r>
        <w:rPr>
          <w:rFonts w:ascii="Times New Roman" w:hAnsi="Times New Roman"/>
          <w:b/>
          <w:i w:val="0"/>
          <w:color w:val="000000"/>
          <w:sz w:val="26"/>
        </w:rPr>
        <w:t>6.2 TOOLS AND TECHNOLOGIES USED</w:t>
      </w:r>
    </w:p>
    <w:p>
      <w:pPr>
        <w:pStyle w:val="ListBullet"/>
        <w:spacing w:before="0" w:after="80" w:line="276" w:lineRule="auto"/>
      </w:pPr>
      <w:r>
        <w:rPr>
          <w:rFonts w:ascii="Times New Roman" w:hAnsi="Times New Roman"/>
          <w:b/>
          <w:i w:val="0"/>
          <w:color w:val="000000"/>
          <w:sz w:val="24"/>
        </w:rPr>
        <w:t xml:space="preserve">Solidity ^0.8.24: </w:t>
      </w:r>
      <w:r>
        <w:rPr>
          <w:rFonts w:ascii="Times New Roman" w:hAnsi="Times New Roman"/>
          <w:b w:val="0"/>
          <w:i w:val="0"/>
          <w:color w:val="000000"/>
          <w:sz w:val="24"/>
        </w:rPr>
        <w:t>Compiled with solcjs (viaIR: true, evmVersion: paris) via a small wrapper script, since the plain solc --bin --abi flags cannot express those two settings together.</w:t>
      </w:r>
    </w:p>
    <w:p>
      <w:pPr>
        <w:pStyle w:val="ListBullet"/>
        <w:spacing w:before="0" w:after="80" w:line="276" w:lineRule="auto"/>
      </w:pPr>
      <w:r>
        <w:rPr>
          <w:rFonts w:ascii="Times New Roman" w:hAnsi="Times New Roman"/>
          <w:b/>
          <w:i w:val="0"/>
          <w:color w:val="000000"/>
          <w:sz w:val="24"/>
        </w:rPr>
        <w:t xml:space="preserve">Client Language: </w:t>
      </w:r>
      <w:r>
        <w:rPr>
          <w:rFonts w:ascii="Times New Roman" w:hAnsi="Times New Roman"/>
          <w:b w:val="0"/>
          <w:i w:val="0"/>
          <w:color w:val="000000"/>
          <w:sz w:val="24"/>
        </w:rPr>
        <w:t>Chosen specifically because it produces a single, dependency-free native binary with near-C performance (see the benchmark in Chapter 8) and because building the needed primitives from scratch was judged more reliable than depending on an immature or nonexistent web3 ecosystem.</w:t>
      </w:r>
    </w:p>
    <w:p>
      <w:pPr>
        <w:pStyle w:val="ListBullet"/>
        <w:spacing w:before="0" w:after="80" w:line="276" w:lineRule="auto"/>
      </w:pPr>
      <w:r>
        <w:rPr>
          <w:rFonts w:ascii="Times New Roman" w:hAnsi="Times New Roman"/>
          <w:b/>
          <w:i w:val="0"/>
          <w:color w:val="000000"/>
          <w:sz w:val="24"/>
        </w:rPr>
        <w:t xml:space="preserve">Hardhat: </w:t>
      </w:r>
      <w:r>
        <w:rPr>
          <w:rFonts w:ascii="Times New Roman" w:hAnsi="Times New Roman"/>
          <w:b w:val="0"/>
          <w:i w:val="0"/>
          <w:color w:val="000000"/>
          <w:sz w:val="24"/>
        </w:rPr>
        <w:t>Used only as a local development/test chain and for its JavaScript-based deployment and integration-test tooling (ethers.js), never as part of the shipped system.</w:t>
      </w:r>
    </w:p>
    <w:p>
      <w:pPr>
        <w:pStyle w:val="ListBullet"/>
        <w:spacing w:before="0" w:after="80" w:line="276" w:lineRule="auto"/>
      </w:pPr>
      <w:r>
        <w:rPr>
          <w:rFonts w:ascii="Times New Roman" w:hAnsi="Times New Roman"/>
          <w:b/>
          <w:i w:val="0"/>
          <w:color w:val="000000"/>
          <w:sz w:val="24"/>
        </w:rPr>
        <w:t xml:space="preserve">Docker: </w:t>
      </w:r>
      <w:r>
        <w:rPr>
          <w:rFonts w:ascii="Times New Roman" w:hAnsi="Times New Roman"/>
          <w:b w:val="0"/>
          <w:i w:val="0"/>
          <w:color w:val="000000"/>
          <w:sz w:val="24"/>
        </w:rPr>
        <w:t>For a reproducible build path (all pinned inside one image) aimed mainly at Windows users who would otherwise need to set up WSL2 by hand.</w:t>
      </w:r>
    </w:p>
    <w:p>
      <w:pPr>
        <w:spacing w:before="280" w:after="120"/>
        <w:jc w:val="left"/>
      </w:pPr>
      <w:r>
        <w:rPr>
          <w:rFonts w:ascii="Times New Roman" w:hAnsi="Times New Roman"/>
          <w:b/>
          <w:i w:val="0"/>
          <w:color w:val="000000"/>
          <w:sz w:val="26"/>
        </w:rPr>
        <w:t>6.3 ALGORITHM DETAILS</w:t>
      </w:r>
    </w:p>
    <w:p>
      <w:pPr>
        <w:spacing w:before="200" w:after="80"/>
        <w:jc w:val="left"/>
      </w:pPr>
      <w:r>
        <w:rPr>
          <w:rFonts w:ascii="Times New Roman" w:hAnsi="Times New Roman"/>
          <w:b/>
          <w:i w:val="0"/>
          <w:color w:val="000000"/>
          <w:sz w:val="24"/>
        </w:rPr>
        <w:t>6.3.1 Keccak-256 (from scratch)</w:t>
      </w:r>
    </w:p>
    <w:p>
      <w:pPr>
        <w:spacing w:before="0" w:after="120" w:line="276" w:lineRule="auto"/>
        <w:jc w:val="both"/>
      </w:pPr>
      <w:r>
        <w:rPr>
          <w:rFonts w:ascii="Times New Roman" w:hAnsi="Times New Roman"/>
          <w:b w:val="0"/>
          <w:i w:val="0"/>
          <w:color w:val="000000"/>
          <w:sz w:val="24"/>
        </w:rPr>
        <w:t>The EVM's hash function is Keccak-256, not NIST SHA3-256; the two differ in their padding byte (0x01/0x80 multi-rate padding for Keccak, a 0x06 domain separator for SHA3), which is a common source of silent, hard-to-notice bugs when a general-purpose SHA3 library gets substituted in by mistake. Since no built-in or mature Keccak implementation existed, this project implements the full Keccak-f [1600] permutation (theta, rho, pi, chi, iota across 24 rounds) directly, and verifies it against known Ethereum test vectors rather than only checking that it runs without crashing.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640"/>
            <w:shd w:fill="F2F4F7"/>
            <w:tcMar>
              <w:top w:w="100" w:type="dxa"/>
              <w:bottom w:w="100" w:type="dxa"/>
              <w:left w:w="140" w:type="dxa"/>
              <w:right w:w="140" w:type="dxa"/>
            </w:tcMar>
          </w:tcPr>
          <w:p>
            <w:pPr>
              <w:spacing w:before="40" w:after="40"/>
              <w:jc w:val="left"/>
            </w:pPr>
            <w:r>
              <w:rPr>
                <w:rFonts w:ascii="Consolas" w:hAnsi="Consolas"/>
                <w:b w:val="0"/>
                <w:i w:val="0"/>
                <w:color w:val="141414"/>
                <w:sz w:val="18"/>
              </w:rPr>
              <w:t>fn (mut st KeccakState) keccak_f() {</w:t>
              <w:br/>
              <w:t xml:space="preserve">    for round := 0; round &lt; keccak_rounds; round++ {</w:t>
              <w:br/>
              <w:t xml:space="preserve">        // Theta: XOR-mix each column into every lane in that column</w:t>
              <w:br/>
              <w:t xml:space="preserve">        for i in 0 .. 5 {</w:t>
              <w:br/>
              <w:t xml:space="preserve">            bc[i] = st.s[i] ^ st.s[i+5] ^ st.s[i+10] ^ st.s[i+15] ^ st.s[i+20]</w:t>
              <w:br/>
              <w:t xml:space="preserve">        }</w:t>
              <w:br/>
              <w:t xml:space="preserve">        // ... Rho+Pi (lane rotation/permutation), Chi, Iota ...</w:t>
              <w:br/>
              <w:t xml:space="preserve">        st.s[0] ^= round_constants[round]</w:t>
              <w:br/>
              <w:t xml:space="preserve">    }</w:t>
              <w:br/>
              <w:t>}</w:t>
            </w:r>
          </w:p>
        </w:tc>
      </w:tr>
    </w:tbl>
    <w:p>
      <w:pPr>
        <w:spacing w:after="120"/>
      </w:pPr>
    </w:p>
    <w:p>
      <w:pPr>
        <w:spacing w:before="0" w:after="120" w:line="276" w:lineRule="auto"/>
        <w:jc w:val="both"/>
      </w:pPr>
      <w:r>
        <w:rPr>
          <w:rFonts w:ascii="Times New Roman" w:hAnsi="Times New Roman"/>
          <w:b w:val="0"/>
          <w:i w:val="0"/>
          <w:color w:val="000000"/>
          <w:sz w:val="24"/>
        </w:rPr>
        <w:t>Verification, from test/keccak_test: the empty string, 'abc', and 'hello' are hashed and compared against their published Keccak-256 digests, and the selector for transfer(address,uint256) is computed and checked against the well-known ERC-20 value a9059cbb, since that selector is something any Ethereum developer can independently confirm.</w:t>
      </w:r>
    </w:p>
    <w:p>
      <w:pPr>
        <w:spacing w:before="200" w:after="80"/>
        <w:jc w:val="left"/>
      </w:pPr>
      <w:r>
        <w:rPr>
          <w:rFonts w:ascii="Times New Roman" w:hAnsi="Times New Roman"/>
          <w:b/>
          <w:i w:val="0"/>
          <w:color w:val="000000"/>
          <w:sz w:val="24"/>
        </w:rPr>
        <w:t>6.3.2 Three-way merge (file-hash level)</w:t>
      </w:r>
    </w:p>
    <w:p>
      <w:pPr>
        <w:spacing w:before="0" w:after="120" w:line="276" w:lineRule="auto"/>
        <w:jc w:val="both"/>
      </w:pPr>
      <w:r>
        <w:rPr>
          <w:rFonts w:ascii="Times New Roman" w:hAnsi="Times New Roman"/>
          <w:b w:val="0"/>
          <w:i w:val="0"/>
          <w:color w:val="000000"/>
          <w:sz w:val="24"/>
        </w:rPr>
        <w:t>Because every tracked file is a content-addressed blob rather than a line-based text file, a textual diff/merge (as git merge performs) does not apply here. What this project implements instead is a three-way merge at the whole-file level: for every path, compare its hash at the common ancestor, on the current branch, and on the other branch, and classify the result using the same four cases Git's own merge uses internally, just applied per path rather than per line.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640"/>
            <w:shd w:fill="F2F4F7"/>
            <w:tcMar>
              <w:top w:w="100" w:type="dxa"/>
              <w:bottom w:w="100" w:type="dxa"/>
              <w:left w:w="140" w:type="dxa"/>
              <w:right w:w="140" w:type="dxa"/>
            </w:tcMar>
          </w:tcPr>
          <w:p>
            <w:pPr>
              <w:spacing w:before="40" w:after="40"/>
              <w:jc w:val="left"/>
            </w:pPr>
            <w:r>
              <w:rPr>
                <w:rFonts w:ascii="Consolas" w:hAnsi="Consolas"/>
                <w:b w:val="0"/>
                <w:i w:val="0"/>
                <w:color w:val="141414"/>
                <w:sz w:val="18"/>
              </w:rPr>
              <w:t>if o == t {</w:t>
              <w:br/>
              <w:t xml:space="preserve">    if o.len &gt; 0 { merged[p] = o }    // both sides agree (incl. both deleting it)</w:t>
              <w:br/>
              <w:t xml:space="preserve">    continue</w:t>
              <w:br/>
              <w:t>}</w:t>
              <w:br/>
              <w:t>if b == o {                            // ours unchanged since base -&gt; take theirs</w:t>
              <w:br/>
              <w:t xml:space="preserve">    if t.len &gt; 0 { merged[p] = t }</w:t>
              <w:br/>
              <w:t xml:space="preserve">    continue</w:t>
              <w:br/>
              <w:t>}</w:t>
              <w:br/>
              <w:t>if b == t {                            // theirs unchanged since base -&gt; keep ours</w:t>
              <w:br/>
              <w:t xml:space="preserve">    if o.len &gt; 0 { merged[p] = o }</w:t>
              <w:br/>
              <w:t xml:space="preserve">    continue</w:t>
              <w:br/>
              <w:t>}</w:t>
              <w:br/>
              <w:t>conflicts &lt;&lt; p                         // all three differ: real conflict</w:t>
            </w:r>
          </w:p>
        </w:tc>
      </w:tr>
    </w:tbl>
    <w:p>
      <w:pPr>
        <w:spacing w:after="120"/>
      </w:pPr>
    </w:p>
    <w:p>
      <w:pPr>
        <w:spacing w:before="0" w:after="120" w:line="276" w:lineRule="auto"/>
        <w:jc w:val="both"/>
      </w:pPr>
      <w:r>
        <w:rPr>
          <w:rFonts w:ascii="Times New Roman" w:hAnsi="Times New Roman"/>
          <w:b w:val="0"/>
          <w:i w:val="0"/>
          <w:color w:val="000000"/>
          <w:sz w:val="24"/>
        </w:rPr>
        <w:t>This one function backs both rebase and the fast-forward pre-check pr-merge runs before sending anything on-chain, so there is one conflict story in the whole system rather than two slightly different ones. It is unit-tested against every case in the table above, including add/add conflicts (both sides introduce the same new path with different content) and modify/delete conflicts (one side edits a path the other side removed), not only the straightforward clean-merge case.</w:t>
      </w:r>
    </w:p>
    <w:p>
      <w:pPr>
        <w:spacing w:before="200" w:after="80"/>
        <w:jc w:val="left"/>
      </w:pPr>
      <w:r>
        <w:rPr>
          <w:rFonts w:ascii="Times New Roman" w:hAnsi="Times New Roman"/>
          <w:b/>
          <w:i w:val="0"/>
          <w:color w:val="000000"/>
          <w:sz w:val="24"/>
        </w:rPr>
        <w:t>6.3.3 ABI encoding and blob chunking</w:t>
      </w:r>
    </w:p>
    <w:p>
      <w:pPr>
        <w:spacing w:before="0" w:after="120" w:line="276" w:lineRule="auto"/>
        <w:jc w:val="both"/>
      </w:pPr>
      <w:r>
        <w:rPr>
          <w:rFonts w:ascii="Times New Roman" w:hAnsi="Times New Roman"/>
          <w:b w:val="0"/>
          <w:i w:val="0"/>
          <w:color w:val="000000"/>
          <w:sz w:val="24"/>
        </w:rPr>
        <w:t>Every contract call needs its arguments packed the exact way the EVM expects: a 4-byte function selector (the first four bytes of keccak256(signature)) followed by arguments padded and laid out per the Solidity ABI specification, with dynamic types (strings, byte arrays) stored via head/tail offset encoding rather than inline. abi implements encode_call() and the matching decode_*() helpers for exactly the type combinations this project's contract calls actually use, and its output is checked byte-for-byte against live ethers.js encoding of the same calls rather than only against hand-derived expected bytes, since a self-consistent but wrong encoder would otherwise be very easy to miss.</w:t>
      </w:r>
    </w:p>
    <w:p>
      <w:pPr>
        <w:spacing w:before="0" w:after="120" w:line="276" w:lineRule="auto"/>
        <w:jc w:val="both"/>
      </w:pPr>
      <w:r>
        <w:rPr>
          <w:rFonts w:ascii="Times New Roman" w:hAnsi="Times New Roman"/>
          <w:b w:val="0"/>
          <w:i w:val="0"/>
          <w:color w:val="000000"/>
          <w:sz w:val="24"/>
        </w:rPr>
        <w:t>File content is split into chunks of at most MAX_CHUNK_BYTES (24 KiB) before pushing, each becoming one pushBlobChunk transaction. The limit is enforced on both sides: client-side to decide where to split, and on-chain via a ChunkTooLarge revert, confirmed by testing a chunk exactly at the limit (accepted) and one byte over it (rejected).</w:t>
      </w:r>
    </w:p>
    <w:p>
      <w:pPr>
        <w:spacing w:before="0" w:after="120" w:line="276" w:lineRule="auto"/>
        <w:jc w:val="center"/>
      </w:pPr>
      <w:r>
        <w:rPr>
          <w:rFonts w:ascii="Times New Roman" w:hAnsi="Times New Roman"/>
          <w:b/>
          <w:i w:val="0"/>
          <w:color w:val="000000"/>
          <w:sz w:val="22"/>
        </w:rPr>
        <w:t>Table 6.1: On-chain gas cost reference</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00"/>
        <w:gridCol w:w="3000"/>
        <w:gridCol w:w="3000"/>
      </w:tblGrid>
      <w:tr>
        <w:tc>
          <w:tcPr>
            <w:tcW w:type="dxa" w:w="259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Operation</w:t>
            </w:r>
          </w:p>
        </w:tc>
        <w:tc>
          <w:tcPr>
            <w:tcW w:type="dxa" w:w="259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Approximate cost</w:t>
            </w:r>
          </w:p>
        </w:tc>
        <w:tc>
          <w:tcPr>
            <w:tcW w:type="dxa" w:w="4320"/>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Why it matters here</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SSTORE, cold 32-byte word</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~20,000 gas</w:t>
            </w:r>
          </w:p>
        </w:tc>
        <w:tc>
          <w:tcPr>
            <w:tcW w:type="dxa" w:w="432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Why file content is not stored directly in contract storage</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Event log data, per byte</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~16 gas</w:t>
            </w:r>
          </w:p>
        </w:tc>
        <w:tc>
          <w:tcPr>
            <w:tcW w:type="dxa" w:w="432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Why BlobChunk events are the default content-storage mode</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Base transaction cost</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21,000 gas</w:t>
            </w:r>
          </w:p>
        </w:tc>
        <w:tc>
          <w:tcPr>
            <w:tcW w:type="dxa" w:w="432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Paid once per transaction, which is why chunking has a floor on how small a chunk should be</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ChunkTooLarge revert threshold</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&gt; 24 KiB per chunk (MAX_CHUNK_BYTES)</w:t>
            </w:r>
          </w:p>
        </w:tc>
        <w:tc>
          <w:tcPr>
            <w:tcW w:type="dxa" w:w="432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Keeps any single transaction's calldata, and its gas cost, bounded and predictable</w:t>
            </w:r>
          </w:p>
        </w:tc>
      </w:tr>
    </w:tbl>
    <w:p>
      <w:pPr>
        <w:spacing w:after="120"/>
      </w:pPr>
    </w:p>
    <w:p>
      <w:r>
        <w:br w:type="page"/>
      </w:r>
    </w:p>
    <w:p>
      <w:pPr>
        <w:spacing w:before="360" w:after="360"/>
        <w:jc w:val="center"/>
      </w:pPr>
      <w:r>
        <w:rPr>
          <w:rFonts w:ascii="Times New Roman" w:hAnsi="Times New Roman"/>
          <w:b/>
          <w:i w:val="0"/>
          <w:color w:val="000000"/>
          <w:sz w:val="32"/>
        </w:rPr>
        <w:t>CHAPTER 7</w:t>
        <w:br/>
        <w:t>SOFTWARE TESTING</w:t>
      </w:r>
    </w:p>
    <w:p>
      <w:pPr>
        <w:spacing w:before="280" w:after="120"/>
        <w:jc w:val="left"/>
      </w:pPr>
      <w:r>
        <w:rPr>
          <w:rFonts w:ascii="Times New Roman" w:hAnsi="Times New Roman"/>
          <w:b/>
          <w:i w:val="0"/>
          <w:color w:val="000000"/>
          <w:sz w:val="26"/>
        </w:rPr>
        <w:t>7.1 TYPE OF TESTING</w:t>
      </w:r>
    </w:p>
    <w:p>
      <w:pPr>
        <w:spacing w:before="0" w:after="120" w:line="276" w:lineRule="auto"/>
        <w:jc w:val="both"/>
      </w:pPr>
      <w:r>
        <w:rPr>
          <w:rFonts w:ascii="Times New Roman" w:hAnsi="Times New Roman"/>
          <w:b w:val="0"/>
          <w:i w:val="0"/>
          <w:color w:val="000000"/>
          <w:sz w:val="24"/>
        </w:rPr>
        <w:t>Two layers were used, and both were meant to actually run as part of the development loop rather than exist only as documentation of intent.</w:t>
      </w:r>
    </w:p>
    <w:p>
      <w:pPr>
        <w:pStyle w:val="ListBullet"/>
        <w:spacing w:before="0" w:after="80" w:line="276" w:lineRule="auto"/>
      </w:pPr>
      <w:r>
        <w:rPr>
          <w:rFonts w:ascii="Times New Roman" w:hAnsi="Times New Roman"/>
          <w:b/>
          <w:i w:val="0"/>
          <w:color w:val="000000"/>
          <w:sz w:val="24"/>
        </w:rPr>
        <w:t xml:space="preserve">Unit testing: </w:t>
      </w:r>
      <w:r>
        <w:rPr>
          <w:rFonts w:ascii="Times New Roman" w:hAnsi="Times New Roman"/>
          <w:b w:val="0"/>
          <w:i w:val="0"/>
          <w:color w:val="000000"/>
          <w:sz w:val="24"/>
        </w:rPr>
        <w:t>pure-logic tests next to the code they test (every *_test.v file), run with test ., covering hashing, ABI round-trips, hex helpers, Merkle-root properties, .dvcsignore matching, blob chunking/reassembly, and every case of the three-way merge. No chain is required for this layer, and it runs in a few seconds.</w:t>
      </w:r>
    </w:p>
    <w:p>
      <w:pPr>
        <w:pStyle w:val="ListBullet"/>
        <w:spacing w:before="0" w:after="80" w:line="276" w:lineRule="auto"/>
      </w:pPr>
      <w:r>
        <w:rPr>
          <w:rFonts w:ascii="Times New Roman" w:hAnsi="Times New Roman"/>
          <w:b/>
          <w:i w:val="0"/>
          <w:color w:val="000000"/>
          <w:sz w:val="24"/>
        </w:rPr>
        <w:t xml:space="preserve">Integration testing: </w:t>
      </w:r>
      <w:r>
        <w:rPr>
          <w:rFonts w:ascii="Times New Roman" w:hAnsi="Times New Roman"/>
          <w:b w:val="0"/>
          <w:i w:val="0"/>
          <w:color w:val="000000"/>
          <w:sz w:val="24"/>
        </w:rPr>
        <w:t>a real end-to-end suite (test/integration/run.sh) that builds the CLI, compiles the contract, starts its own isolated Hardhat node, deploys a fresh contract, and drives the actual compiled binary, not a mock of it, through more than 40 assertions covering nearly the whole command surface, including the negative/failure cases (a wrong passphrase, a blocked self-approval, a rejected over-limit chunk), not only the paths that are expected to succeed.</w:t>
      </w:r>
    </w:p>
    <w:p>
      <w:pPr>
        <w:spacing w:before="0" w:after="120" w:line="276" w:lineRule="auto"/>
        <w:jc w:val="both"/>
      </w:pPr>
      <w:r>
        <w:rPr>
          <w:rFonts w:ascii="Times New Roman" w:hAnsi="Times New Roman"/>
          <w:b w:val="0"/>
          <w:i w:val="0"/>
          <w:color w:val="000000"/>
          <w:sz w:val="24"/>
        </w:rPr>
        <w:t>Both suites are safe to re-run: the integration suite gets a fresh chain and fresh temporary directories on every run, and cleans up its own Hardhat process on exit, so a result is never contaminated by state left over from an earlier run.</w:t>
      </w:r>
    </w:p>
    <w:p>
      <w:pPr>
        <w:spacing w:before="280" w:after="120"/>
        <w:jc w:val="left"/>
      </w:pPr>
      <w:r>
        <w:rPr>
          <w:rFonts w:ascii="Times New Roman" w:hAnsi="Times New Roman"/>
          <w:b/>
          <w:i w:val="0"/>
          <w:color w:val="000000"/>
          <w:sz w:val="26"/>
        </w:rPr>
        <w:t>7.2 TEST CASES &amp; TEST RESULTS</w:t>
      </w:r>
    </w:p>
    <w:p>
      <w:pPr>
        <w:spacing w:before="0" w:after="120" w:line="276" w:lineRule="auto"/>
        <w:jc w:val="center"/>
      </w:pPr>
      <w:r>
        <w:rPr>
          <w:rFonts w:ascii="Times New Roman" w:hAnsi="Times New Roman"/>
          <w:b/>
          <w:i w:val="0"/>
          <w:color w:val="000000"/>
          <w:sz w:val="22"/>
        </w:rPr>
        <w:t>Table 7.1: Unit test suite summary</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00"/>
        <w:gridCol w:w="4500"/>
      </w:tblGrid>
      <w:tr>
        <w:tc>
          <w:tcPr>
            <w:tcW w:type="dxa" w:w="259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Module under test</w:t>
            </w:r>
          </w:p>
        </w:tc>
        <w:tc>
          <w:tcPr>
            <w:tcW w:type="dxa" w:w="691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What is checked</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keccak.v</w:t>
            </w:r>
          </w:p>
        </w:tc>
        <w:tc>
          <w:tcPr>
            <w:tcW w:type="dxa" w:w="69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Digest matches known test vectors for '', 'abc', 'hello'; ERC-20 transfer selector matches a9059cbb</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abi.v</w:t>
            </w:r>
          </w:p>
        </w:tc>
        <w:tc>
          <w:tcPr>
            <w:tcW w:type="dxa" w:w="69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encode_call()/decode_*() round-trip for every type combination used; encoding matches live ethers.js output byte-for-byte</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hex.v</w:t>
            </w:r>
          </w:p>
        </w:tc>
        <w:tc>
          <w:tcPr>
            <w:tcW w:type="dxa" w:w="69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hex&lt;-&gt;bytes conversion round-trips, including odd-length and empty-input edge cases</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objects.v</w:t>
            </w:r>
          </w:p>
        </w:tc>
        <w:tc>
          <w:tcPr>
            <w:tcW w:type="dxa" w:w="69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Merkle root is order-independent for the same file set and changes when any tracked file changes</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ignore.v</w:t>
            </w:r>
          </w:p>
        </w:tc>
        <w:tc>
          <w:tcPr>
            <w:tcW w:type="dxa" w:w="69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Exact-name, directory-prefix, and wildcard .dvcsignore patterns correctly exclude matching paths</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blobs.v</w:t>
            </w:r>
          </w:p>
        </w:tc>
        <w:tc>
          <w:tcPr>
            <w:tcW w:type="dxa" w:w="69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Chunking a blob and reassembling the chunks reproduces the original bytes exactly, at and around the chunk-size boundary</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merge3.v</w:t>
            </w:r>
          </w:p>
        </w:tc>
        <w:tc>
          <w:tcPr>
            <w:tcW w:type="dxa" w:w="69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Clean merge, both-sides-identical-change, add/add conflict, modify/delete conflict, and deletion-agreement cases all resolve as specified in Section 6.3.2</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crypto_local.v</w:t>
            </w:r>
          </w:p>
        </w:tc>
        <w:tc>
          <w:tcPr>
            <w:tcW w:type="dxa" w:w="69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Encrypt/decrypt round-trip recovers the original plaintext; a wrong passphrase fails via AES-GCM's own authentication check rather than returning corrupted output</w:t>
            </w:r>
          </w:p>
        </w:tc>
      </w:tr>
    </w:tbl>
    <w:p>
      <w:pPr>
        <w:spacing w:after="120"/>
      </w:pPr>
    </w:p>
    <w:p>
      <w:pPr>
        <w:spacing w:before="0" w:after="120" w:line="276" w:lineRule="auto"/>
        <w:jc w:val="center"/>
      </w:pPr>
      <w:r>
        <w:rPr>
          <w:rFonts w:ascii="Times New Roman" w:hAnsi="Times New Roman"/>
          <w:b/>
          <w:i w:val="0"/>
          <w:color w:val="000000"/>
          <w:sz w:val="22"/>
        </w:rPr>
        <w:t>Table 7.2: Integration test cases and results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type="dxa" w:w="720"/>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w:t>
            </w:r>
          </w:p>
        </w:tc>
        <w:tc>
          <w:tcPr>
            <w:tcW w:type="dxa" w:w="3168"/>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Scenario (input)</w:t>
            </w:r>
          </w:p>
        </w:tc>
        <w:tc>
          <w:tcPr>
            <w:tcW w:type="dxa" w:w="345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Expected output</w:t>
            </w:r>
          </w:p>
        </w:tc>
        <w:tc>
          <w:tcPr>
            <w:tcW w:type="dxa" w:w="2160"/>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Actual result</w:t>
            </w:r>
          </w:p>
        </w:tc>
      </w:tr>
      <w:tr>
        <w:tc>
          <w:tcPr>
            <w:tcW w:type="dxa" w:w="72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Push unencrypted content to a --private repo</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Refused client-side before any transaction is sent</w:t>
            </w:r>
          </w:p>
        </w:tc>
        <w:tc>
          <w:tcPr>
            <w:tcW w:type="dxa" w:w="216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refused with a clear error</w:t>
            </w:r>
          </w:p>
        </w:tc>
      </w:tr>
      <w:tr>
        <w:tc>
          <w:tcPr>
            <w:tcW w:type="dxa" w:w="72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Same push, after crypto-init</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Succeeds; content stored encrypted on-chain</w:t>
            </w:r>
          </w:p>
        </w:tc>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Pass</w:t>
            </w:r>
          </w:p>
        </w:tc>
      </w:tr>
      <w:tr>
        <w:tc>
          <w:tcPr>
            <w:tcW w:type="dxa" w:w="72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Two accounts each register a handle, owner grants the second Contributor by handle only</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member-list shows both handles resolved to addresses</w:t>
            </w:r>
          </w:p>
        </w:tc>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Pass</w:t>
            </w:r>
          </w:p>
        </w:tc>
      </w:tr>
      <w:tr>
        <w:tc>
          <w:tcPr>
            <w:tcW w:type="dxa" w:w="72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 second, independent repo pull()s encrypted content without being told the salt</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Salt auto-discovered on-chain; content decrypts correctly</w:t>
            </w:r>
          </w:p>
        </w:tc>
        <w:tc>
          <w:tcPr>
            <w:tcW w:type="dxa" w:w="216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byte-for-byte match</w:t>
            </w:r>
          </w:p>
        </w:tc>
      </w:tr>
      <w:tr>
        <w:tc>
          <w:tcPr>
            <w:tcW w:type="dxa" w:w="72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5</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pull() with a deliberately wrong passphrase</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AES-GCM authentication failure, not silent corruption; commit metadata still syncs (always public)</w:t>
            </w:r>
          </w:p>
        </w:tc>
        <w:tc>
          <w:tcPr>
            <w:tcW w:type="dxa" w:w="216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content sync stayed at zero, metadata synced</w:t>
            </w:r>
          </w:p>
        </w:tc>
      </w:tr>
      <w:tr>
        <w:tc>
          <w:tcPr>
            <w:tcW w:type="dxa" w:w="72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6</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pushBlobChunk() with a chunk one byte over MAX_CHUNK_BYTES</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Reverts with ChunkTooLarge</w:t>
            </w:r>
          </w:p>
        </w:tc>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Pass</w:t>
            </w:r>
          </w:p>
        </w:tc>
      </w:tr>
      <w:tr>
        <w:tc>
          <w:tcPr>
            <w:tcW w:type="dxa" w:w="72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7</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pushBlobChunk() with a chunk exactly at MAX_CHUNK_BYTES</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Accepted</w:t>
            </w:r>
          </w:p>
        </w:tc>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Pass</w:t>
            </w:r>
          </w:p>
        </w:tc>
      </w:tr>
      <w:tr>
        <w:tc>
          <w:tcPr>
            <w:tcW w:type="dxa" w:w="72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PR author calls pr-approve on their own PR</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Reverts (CannotApproveOwnPR), tested for both a non-owner author and the repo owner as author</w:t>
            </w:r>
          </w:p>
        </w:tc>
        <w:tc>
          <w:tcPr>
            <w:tcW w:type="dxa" w:w="216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both cases</w:t>
            </w:r>
          </w:p>
        </w:tc>
      </w:tr>
      <w:tr>
        <w:tc>
          <w:tcPr>
            <w:tcW w:type="dxa" w:w="72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9</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Owner opens a second PR, attempts self-approval</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Reverts; merge then correctly fails at 0/2 required approvals</w:t>
            </w:r>
          </w:p>
        </w:tc>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Pass</w:t>
            </w:r>
          </w:p>
        </w:tc>
      </w:tr>
      <w:tr>
        <w:tc>
          <w:tcPr>
            <w:tcW w:type="dxa" w:w="72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10</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User without a granted role attempts to push</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Rejected (access control)</w:t>
            </w:r>
          </w:p>
        </w:tc>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Pass</w:t>
            </w:r>
          </w:p>
        </w:tc>
      </w:tr>
      <w:tr>
        <w:tc>
          <w:tcPr>
            <w:tcW w:type="dxa" w:w="72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11</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Same user, after member-add grants Contributor</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Push succeeds immediately</w:t>
            </w:r>
          </w:p>
        </w:tc>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Pass</w:t>
            </w:r>
          </w:p>
        </w:tc>
      </w:tr>
      <w:tr>
        <w:tc>
          <w:tcPr>
            <w:tcW w:type="dxa" w:w="72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12</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Two branches independently edit the same path, then rebase</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CONFLICT reported, naming the exact path, not a silently picked winner</w:t>
            </w:r>
          </w:p>
        </w:tc>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Pass</w:t>
            </w:r>
          </w:p>
        </w:tc>
      </w:tr>
      <w:tr>
        <w:tc>
          <w:tcPr>
            <w:tcW w:type="dxa" w:w="72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13</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Same scenario, rebase --theirs</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Conflict auto-resolves to the other branch's content</w:t>
            </w:r>
          </w:p>
        </w:tc>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Pass</w:t>
            </w:r>
          </w:p>
        </w:tc>
      </w:tr>
      <w:tr>
        <w:tc>
          <w:tcPr>
            <w:tcW w:type="dxa" w:w="72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14</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rollback &lt;hash&gt; --hard</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Branch pointer and working files both restored to the target commit</w:t>
            </w:r>
          </w:p>
        </w:tc>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Pass</w:t>
            </w:r>
          </w:p>
        </w:tc>
      </w:tr>
      <w:tr>
        <w:tc>
          <w:tcPr>
            <w:tcW w:type="dxa" w:w="72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15</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5 back-to-back RPC calls that previously triggered a transient failure</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All 5 succeed via retry-with-backoff</w:t>
            </w:r>
          </w:p>
        </w:tc>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Pass</w:t>
            </w:r>
          </w:p>
        </w:tc>
      </w:tr>
    </w:tbl>
    <w:p>
      <w:pPr>
        <w:spacing w:after="120"/>
      </w:pPr>
    </w:p>
    <w:p>
      <w:pPr>
        <w:spacing w:before="0" w:after="120" w:line="276" w:lineRule="auto"/>
        <w:jc w:val="both"/>
      </w:pPr>
      <w:r>
        <w:rPr>
          <w:rFonts w:ascii="Times New Roman" w:hAnsi="Times New Roman"/>
          <w:b w:val="0"/>
          <w:i w:val="0"/>
          <w:color w:val="000000"/>
          <w:sz w:val="24"/>
        </w:rPr>
        <w:t>The table above is a representative subset; the full suite exceeds 40 assertions covering the remaining commands (diff, ls, show, cat, pr-list, pr-show, pr-min-approvals, delete-branch, and the changelog) against real local commit data.</w:t>
      </w:r>
    </w:p>
    <w:p>
      <w:r>
        <w:br w:type="page"/>
      </w:r>
    </w:p>
    <w:p>
      <w:pPr>
        <w:spacing w:before="360" w:after="360"/>
        <w:jc w:val="center"/>
      </w:pPr>
      <w:r>
        <w:rPr>
          <w:rFonts w:ascii="Times New Roman" w:hAnsi="Times New Roman"/>
          <w:b/>
          <w:i w:val="0"/>
          <w:color w:val="000000"/>
          <w:sz w:val="32"/>
        </w:rPr>
        <w:t>CHAPTER 8</w:t>
        <w:br/>
        <w:t>RESULT ANALYSIS</w:t>
      </w:r>
    </w:p>
    <w:p>
      <w:pPr>
        <w:spacing w:before="280" w:after="120"/>
        <w:jc w:val="left"/>
      </w:pPr>
      <w:r>
        <w:rPr>
          <w:rFonts w:ascii="Times New Roman" w:hAnsi="Times New Roman"/>
          <w:b/>
          <w:i w:val="0"/>
          <w:color w:val="000000"/>
          <w:sz w:val="26"/>
        </w:rPr>
        <w:t>8.1 OUTCOMES</w:t>
      </w:r>
    </w:p>
    <w:p>
      <w:pPr>
        <w:spacing w:before="0" w:after="120" w:line="276" w:lineRule="auto"/>
        <w:jc w:val="both"/>
      </w:pPr>
      <w:r>
        <w:rPr>
          <w:rFonts w:ascii="Times New Roman" w:hAnsi="Times New Roman"/>
          <w:b w:val="0"/>
          <w:i w:val="0"/>
          <w:color w:val="000000"/>
          <w:sz w:val="24"/>
        </w:rPr>
        <w:t>Every claim in the Testing chapter was reproducible, not a one-time observation: re-running the integration suite against a freshly deployed contract and a fresh chain produced the same 40-plus passing assertions each time, including the negative cases. That repeatability matters more here than in most student projects, since the entire point of the system is that its guarantees should not depend on anything being set up 'just right' by hand.</w:t>
      </w:r>
    </w:p>
    <w:p>
      <w:pPr>
        <w:spacing w:before="0" w:after="120" w:line="276" w:lineRule="auto"/>
        <w:jc w:val="both"/>
      </w:pPr>
      <w:r>
        <w:rPr>
          <w:rFonts w:ascii="Times New Roman" w:hAnsi="Times New Roman"/>
          <w:b w:val="0"/>
          <w:i w:val="0"/>
          <w:color w:val="000000"/>
          <w:sz w:val="24"/>
        </w:rPr>
        <w:t>The language choice was chosen specifically because it compiles to a single native binary with performance close to C, which matters for a command-line tool a developer will run dozens of times a session. Python was never seriously considered for this role (it has far better web3 tooling available, but a noticeably heavier runtime footprint for a CLI meant to feel instant), so the comparison below exists to show what that choice actually cost and bought, not to argue one language is faster than C, which it is not.</w:t>
      </w:r>
    </w:p>
    <w:p>
      <w:pPr>
        <w:spacing w:before="160" w:after="80"/>
        <w:jc w:val="center"/>
      </w:pPr>
      <w:r>
        <w:drawing>
          <wp:inline xmlns:a="http://schemas.openxmlformats.org/drawingml/2006/main" xmlns:pic="http://schemas.openxmlformats.org/drawingml/2006/picture">
            <wp:extent cx="5120640" cy="2560320"/>
            <wp:docPr id="5" name="Picture 5"/>
            <wp:cNvGraphicFramePr>
              <a:graphicFrameLocks noChangeAspect="1"/>
            </wp:cNvGraphicFramePr>
            <a:graphic>
              <a:graphicData uri="http://schemas.openxmlformats.org/drawingml/2006/picture">
                <pic:pic>
                  <pic:nvPicPr>
                    <pic:cNvPr id="0" name="Figure 8.1 Benchmarking Visual Charts.png"/>
                    <pic:cNvPicPr/>
                  </pic:nvPicPr>
                  <pic:blipFill>
                    <a:blip r:embed="rId14"/>
                    <a:stretch>
                      <a:fillRect/>
                    </a:stretch>
                  </pic:blipFill>
                  <pic:spPr>
                    <a:xfrm>
                      <a:off x="0" y="0"/>
                      <a:ext cx="5120640" cy="2560320"/>
                    </a:xfrm>
                    <a:prstGeom prst="rect"/>
                  </pic:spPr>
                </pic:pic>
              </a:graphicData>
            </a:graphic>
          </wp:inline>
        </w:drawing>
      </w:r>
    </w:p>
    <w:p>
      <w:pPr>
        <w:spacing w:before="80" w:after="240"/>
        <w:jc w:val="center"/>
      </w:pPr>
      <w:r>
        <w:rPr>
          <w:rFonts w:ascii="Times New Roman" w:hAnsi="Times New Roman"/>
          <w:b/>
          <w:i w:val="0"/>
          <w:color w:val="000000"/>
          <w:sz w:val="22"/>
        </w:rPr>
        <w:t xml:space="preserve">Fig. 8.1: </w:t>
      </w:r>
      <w:r>
        <w:rPr>
          <w:rFonts w:ascii="Times New Roman" w:hAnsi="Times New Roman"/>
          <w:b w:val="0"/>
          <w:i/>
          <w:color w:val="000000"/>
          <w:sz w:val="22"/>
        </w:rPr>
        <w:t>CLI build/runtime benchmark: C vs. V vs. Python</w:t>
      </w:r>
    </w:p>
    <w:p>
      <w:pPr>
        <w:spacing w:before="0" w:after="120" w:line="276" w:lineRule="auto"/>
        <w:jc w:val="center"/>
      </w:pPr>
      <w:r>
        <w:rPr>
          <w:rFonts w:ascii="Times New Roman" w:hAnsi="Times New Roman"/>
          <w:b/>
          <w:i w:val="0"/>
          <w:color w:val="000000"/>
          <w:sz w:val="22"/>
        </w:rPr>
        <w:t>Table 8.1: Benchmark results: C vs. V vs. Python</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type="dxa" w:w="259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Metric</w:t>
            </w:r>
          </w:p>
        </w:tc>
        <w:tc>
          <w:tcPr>
            <w:tcW w:type="dxa" w:w="2160"/>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C (compiled)</w:t>
            </w:r>
          </w:p>
        </w:tc>
        <w:tc>
          <w:tcPr>
            <w:tcW w:type="dxa" w:w="259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V (compiled, tcc)</w:t>
            </w:r>
          </w:p>
        </w:tc>
        <w:tc>
          <w:tcPr>
            <w:tcW w:type="dxa" w:w="2160"/>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Python (interpreted)</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Compile time (s)</w:t>
            </w:r>
          </w:p>
        </w:tc>
        <w:tc>
          <w:tcPr>
            <w:tcW w:type="dxa" w:w="216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0.07</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0.25</w:t>
            </w:r>
          </w:p>
        </w:tc>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n/a</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Runtime (s)</w:t>
            </w:r>
          </w:p>
        </w:tc>
        <w:tc>
          <w:tcPr>
            <w:tcW w:type="dxa" w:w="216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0.005</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0.008</w:t>
            </w:r>
          </w:p>
        </w:tc>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0.27</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Peak memory (MB)</w:t>
            </w:r>
          </w:p>
        </w:tc>
        <w:tc>
          <w:tcPr>
            <w:tcW w:type="dxa" w:w="216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3.2</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4.5</w:t>
            </w:r>
          </w:p>
        </w:tc>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11.0</w:t>
            </w:r>
          </w:p>
        </w:tc>
      </w:tr>
      <w:t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Binary size (KB)</w:t>
            </w:r>
          </w:p>
        </w:tc>
        <w:tc>
          <w:tcPr>
            <w:tcW w:type="dxa" w:w="216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18</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175</w:t>
            </w:r>
          </w:p>
        </w:tc>
        <w:tc>
          <w:tcPr>
            <w:tcW w:type="dxa" w:w="216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n/a</w:t>
            </w:r>
          </w:p>
        </w:tc>
      </w:tr>
    </w:tbl>
    <w:p>
      <w:pPr>
        <w:spacing w:after="120"/>
      </w:pPr>
    </w:p>
    <w:p>
      <w:pPr>
        <w:spacing w:before="0" w:after="120" w:line="276" w:lineRule="auto"/>
        <w:jc w:val="both"/>
      </w:pPr>
      <w:r>
        <w:rPr>
          <w:rFonts w:ascii="Times New Roman" w:hAnsi="Times New Roman"/>
          <w:b w:val="0"/>
          <w:i w:val="0"/>
          <w:color w:val="000000"/>
          <w:sz w:val="24"/>
        </w:rPr>
        <w:t>Runtime and memory numbers sit close to C and well ahead of Python, which is the property that actually mattered for a CLI invoked repeatedly in a developer's normal workflow; its larger binary size and slightly longer compile time were an acceptable trade for not needing an installed interpreter on every machine that runs the CLI.</w:t>
      </w:r>
    </w:p>
    <w:p>
      <w:pPr>
        <w:spacing w:before="280" w:after="120"/>
        <w:jc w:val="left"/>
      </w:pPr>
      <w:r>
        <w:rPr>
          <w:rFonts w:ascii="Times New Roman" w:hAnsi="Times New Roman"/>
          <w:b/>
          <w:i w:val="0"/>
          <w:color w:val="000000"/>
          <w:sz w:val="26"/>
        </w:rPr>
        <w:t>8.2 SCREEN SHOTS</w:t>
      </w:r>
    </w:p>
    <w:p>
      <w:pPr>
        <w:spacing w:before="0" w:after="120" w:line="276" w:lineRule="auto"/>
        <w:jc w:val="both"/>
      </w:pPr>
      <w:r>
        <w:rPr>
          <w:rFonts w:ascii="Times New Roman" w:hAnsi="Times New Roman"/>
          <w:b w:val="0"/>
          <w:i w:val="0"/>
          <w:color w:val="000000"/>
          <w:sz w:val="24"/>
        </w:rPr>
        <w:t>The three captures below are real CLI and terminal output, reproduced from an actual run against a local Hardhat chain (transaction hashes and commit hashes are abbreviated here for readability but are full 32-byte values in the live output).</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352"/>
            <w:shd w:fill="F7F9FB"/>
            <w:tcMar>
              <w:top w:w="140" w:type="dxa"/>
              <w:bottom w:w="140" w:type="dxa"/>
              <w:left w:w="180" w:type="dxa"/>
              <w:right w:w="180" w:type="dxa"/>
            </w:tcMar>
          </w:tcPr>
          <w:p>
            <w:pPr>
              <w:spacing w:before="120" w:after="120"/>
              <w:jc w:val="center"/>
            </w:pPr>
            <w:r>
              <w:rPr>
                <w:rFonts w:ascii="Times New Roman" w:hAnsi="Times New Roman"/>
                <w:b/>
                <w:i w:val="0"/>
                <w:color w:val="28466E"/>
                <w:sz w:val="21"/>
              </w:rPr>
              <w:t>[ FIGURE 8.2 DIAGRAM PLACEHOLDER ]</w:t>
              <w:br/>
            </w:r>
            <w:r>
              <w:rPr>
                <w:rFonts w:ascii="Times New Roman" w:hAnsi="Times New Roman"/>
                <w:b w:val="0"/>
                <w:i/>
                <w:color w:val="5A5A5A"/>
                <w:sz w:val="19"/>
              </w:rPr>
              <w:t>System Schematic: Terminal output showing repository creation, file staging, commit, and three-phase push</w:t>
              <w:br/>
            </w:r>
            <w:r>
              <w:rPr>
                <w:rFonts w:ascii="Times New Roman" w:hAnsi="Times New Roman"/>
                <w:b w:val="0"/>
                <w:i/>
                <w:color w:val="787878"/>
                <w:sz w:val="17"/>
              </w:rPr>
              <w:t>(Save image as 'images/Figure 8.2 Terminal output: repository creation, commit, and push.png' to embed automatically)</w:t>
            </w:r>
          </w:p>
        </w:tc>
      </w:tr>
    </w:tbl>
    <w:p>
      <w:pPr>
        <w:spacing w:before="80" w:after="240"/>
        <w:jc w:val="center"/>
      </w:pPr>
      <w:r>
        <w:rPr>
          <w:rFonts w:ascii="Times New Roman" w:hAnsi="Times New Roman"/>
          <w:b/>
          <w:i w:val="0"/>
          <w:color w:val="000000"/>
          <w:sz w:val="22"/>
        </w:rPr>
        <w:t xml:space="preserve">Fig. 8.2: </w:t>
      </w:r>
      <w:r>
        <w:rPr>
          <w:rFonts w:ascii="Times New Roman" w:hAnsi="Times New Roman"/>
          <w:b w:val="0"/>
          <w:i/>
          <w:color w:val="000000"/>
          <w:sz w:val="22"/>
        </w:rPr>
        <w:t>Terminal output: repository creation, commit, and push</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352"/>
            <w:shd w:fill="F7F9FB"/>
            <w:tcMar>
              <w:top w:w="140" w:type="dxa"/>
              <w:bottom w:w="140" w:type="dxa"/>
              <w:left w:w="180" w:type="dxa"/>
              <w:right w:w="180" w:type="dxa"/>
            </w:tcMar>
          </w:tcPr>
          <w:p>
            <w:pPr>
              <w:spacing w:before="120" w:after="120"/>
              <w:jc w:val="center"/>
            </w:pPr>
            <w:r>
              <w:rPr>
                <w:rFonts w:ascii="Times New Roman" w:hAnsi="Times New Roman"/>
                <w:b/>
                <w:i w:val="0"/>
                <w:color w:val="28466E"/>
                <w:sz w:val="21"/>
              </w:rPr>
              <w:t>[ FIGURE 8.3 DIAGRAM PLACEHOLDER ]</w:t>
              <w:br/>
            </w:r>
            <w:r>
              <w:rPr>
                <w:rFonts w:ascii="Times New Roman" w:hAnsi="Times New Roman"/>
                <w:b w:val="0"/>
                <w:i/>
                <w:color w:val="5A5A5A"/>
                <w:sz w:val="19"/>
              </w:rPr>
              <w:t>System Schematic: Terminal output showing PR open, CannotApproveOwnPR revert, external approval, and merge</w:t>
              <w:br/>
            </w:r>
            <w:r>
              <w:rPr>
                <w:rFonts w:ascii="Times New Roman" w:hAnsi="Times New Roman"/>
                <w:b w:val="0"/>
                <w:i/>
                <w:color w:val="787878"/>
                <w:sz w:val="17"/>
              </w:rPr>
              <w:t>(Save image as 'images/Figure 8.3 Terminal output: blocked self-approval and PR merge.png' to embed automatically)</w:t>
            </w:r>
          </w:p>
        </w:tc>
      </w:tr>
    </w:tbl>
    <w:p>
      <w:pPr>
        <w:spacing w:before="80" w:after="240"/>
        <w:jc w:val="center"/>
      </w:pPr>
      <w:r>
        <w:rPr>
          <w:rFonts w:ascii="Times New Roman" w:hAnsi="Times New Roman"/>
          <w:b/>
          <w:i w:val="0"/>
          <w:color w:val="000000"/>
          <w:sz w:val="22"/>
        </w:rPr>
        <w:t xml:space="preserve">Fig. 8.3: </w:t>
      </w:r>
      <w:r>
        <w:rPr>
          <w:rFonts w:ascii="Times New Roman" w:hAnsi="Times New Roman"/>
          <w:b w:val="0"/>
          <w:i/>
          <w:color w:val="000000"/>
          <w:sz w:val="22"/>
        </w:rPr>
        <w:t>Terminal output: blocked self-approval and PR merge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352"/>
            <w:shd w:fill="F7F9FB"/>
            <w:tcMar>
              <w:top w:w="140" w:type="dxa"/>
              <w:bottom w:w="140" w:type="dxa"/>
              <w:left w:w="180" w:type="dxa"/>
              <w:right w:w="180" w:type="dxa"/>
            </w:tcMar>
          </w:tcPr>
          <w:p>
            <w:pPr>
              <w:spacing w:before="120" w:after="120"/>
              <w:jc w:val="center"/>
            </w:pPr>
            <w:r>
              <w:rPr>
                <w:rFonts w:ascii="Times New Roman" w:hAnsi="Times New Roman"/>
                <w:b/>
                <w:i w:val="0"/>
                <w:color w:val="28466E"/>
                <w:sz w:val="21"/>
              </w:rPr>
              <w:t>[ FIGURE 8.4 DIAGRAM PLACEHOLDER ]</w:t>
              <w:br/>
            </w:r>
            <w:r>
              <w:rPr>
                <w:rFonts w:ascii="Times New Roman" w:hAnsi="Times New Roman"/>
                <w:b w:val="0"/>
                <w:i/>
                <w:color w:val="5A5A5A"/>
                <w:sz w:val="19"/>
              </w:rPr>
              <w:t>System Schematic: Terminal output showing rebase conflict detection, conflict reporting, and --theirs auto-resolution</w:t>
              <w:br/>
            </w:r>
            <w:r>
              <w:rPr>
                <w:rFonts w:ascii="Times New Roman" w:hAnsi="Times New Roman"/>
                <w:b w:val="0"/>
                <w:i/>
                <w:color w:val="787878"/>
                <w:sz w:val="17"/>
              </w:rPr>
              <w:t>(Save image as 'images/Figure 8.4 Terminal output: rebase conflict detection and resolution.png' to embed automatically)</w:t>
            </w:r>
          </w:p>
        </w:tc>
      </w:tr>
    </w:tbl>
    <w:p>
      <w:pPr>
        <w:spacing w:before="80" w:after="240"/>
        <w:jc w:val="center"/>
      </w:pPr>
      <w:r>
        <w:rPr>
          <w:rFonts w:ascii="Times New Roman" w:hAnsi="Times New Roman"/>
          <w:b/>
          <w:i w:val="0"/>
          <w:color w:val="000000"/>
          <w:sz w:val="22"/>
        </w:rPr>
        <w:t xml:space="preserve">Fig. 8.4: </w:t>
      </w:r>
      <w:r>
        <w:rPr>
          <w:rFonts w:ascii="Times New Roman" w:hAnsi="Times New Roman"/>
          <w:b w:val="0"/>
          <w:i/>
          <w:color w:val="000000"/>
          <w:sz w:val="22"/>
        </w:rPr>
        <w:t>Terminal output: rebase conflict detection and resolution</w:t>
      </w:r>
    </w:p>
    <w:p>
      <w:r>
        <w:br w:type="page"/>
      </w:r>
    </w:p>
    <w:p>
      <w:pPr>
        <w:spacing w:before="360" w:after="360"/>
        <w:jc w:val="center"/>
      </w:pPr>
      <w:r>
        <w:rPr>
          <w:rFonts w:ascii="Times New Roman" w:hAnsi="Times New Roman"/>
          <w:b/>
          <w:i w:val="0"/>
          <w:color w:val="000000"/>
          <w:sz w:val="32"/>
        </w:rPr>
        <w:t>CHAPTER 9</w:t>
        <w:br/>
        <w:t>CONCLUSION</w:t>
      </w:r>
    </w:p>
    <w:p>
      <w:pPr>
        <w:spacing w:before="280" w:after="120"/>
        <w:jc w:val="left"/>
      </w:pPr>
      <w:r>
        <w:rPr>
          <w:rFonts w:ascii="Times New Roman" w:hAnsi="Times New Roman"/>
          <w:b/>
          <w:i w:val="0"/>
          <w:color w:val="000000"/>
          <w:sz w:val="26"/>
        </w:rPr>
        <w:t>9.1 CONCLUSIONS</w:t>
      </w:r>
    </w:p>
    <w:p>
      <w:pPr>
        <w:spacing w:before="0" w:after="120" w:line="276" w:lineRule="auto"/>
        <w:jc w:val="both"/>
      </w:pPr>
      <w:r>
        <w:rPr>
          <w:rFonts w:ascii="Times New Roman" w:hAnsi="Times New Roman"/>
          <w:b w:val="0"/>
          <w:i w:val="0"/>
          <w:color w:val="000000"/>
          <w:sz w:val="24"/>
        </w:rPr>
        <w:t>The objectives set out in Chapter 1 were met and verified, not just implemented. The contract enforces, as properties of the data itself rather than as server policy, exactly the things a centrally hosted Git host currently enforces only as revocable permissions: who may push, who may approve a pull request, and that an author cannot approve their own work. The CLI gives that system a workflow a Git user already knows, while keeping the operations that do not need to be public (staging, diffing, local commits, rebasing) entirely local and fast.</w:t>
      </w:r>
    </w:p>
    <w:p>
      <w:pPr>
        <w:spacing w:before="0" w:after="120" w:line="276" w:lineRule="auto"/>
        <w:jc w:val="both"/>
      </w:pPr>
      <w:r>
        <w:rPr>
          <w:rFonts w:ascii="Times New Roman" w:hAnsi="Times New Roman"/>
          <w:b w:val="0"/>
          <w:i w:val="0"/>
          <w:color w:val="000000"/>
          <w:sz w:val="24"/>
        </w:rPr>
        <w:t>The two pieces of infrastructure that had to be built from nothing, Keccak-256 and the ABI codec, turned out to be the right things to get right first: every other guarantee in the system, from a verifiable repository id to a trustworthy commit hash, is downstream of those two being correct. Verifying them against external references (known Ethereum test vectors, live ethers.js output) rather than only against each other is what makes the rest of the system's claims credible rather than circular.</w:t>
      </w:r>
    </w:p>
    <w:p>
      <w:pPr>
        <w:spacing w:before="0" w:after="120" w:line="276" w:lineRule="auto"/>
        <w:jc w:val="both"/>
      </w:pPr>
      <w:r>
        <w:rPr>
          <w:rFonts w:ascii="Times New Roman" w:hAnsi="Times New Roman"/>
          <w:b w:val="0"/>
          <w:i w:val="0"/>
          <w:color w:val="000000"/>
          <w:sz w:val="24"/>
        </w:rPr>
        <w:t>Equally, the project treats 'private' honestly: nothing on a public chain can actually be hidden from a block explorer, so the system does not pretend otherwise. A private repository is private because its content is encrypted client-side before it ever leaves the machine, not because a flag says so.</w:t>
      </w:r>
    </w:p>
    <w:p>
      <w:pPr>
        <w:spacing w:before="280" w:after="120"/>
        <w:jc w:val="left"/>
      </w:pPr>
      <w:r>
        <w:rPr>
          <w:rFonts w:ascii="Times New Roman" w:hAnsi="Times New Roman"/>
          <w:b/>
          <w:i w:val="0"/>
          <w:color w:val="000000"/>
          <w:sz w:val="26"/>
        </w:rPr>
        <w:t>9.2 FUTURE WORK</w:t>
      </w:r>
    </w:p>
    <w:p>
      <w:pPr>
        <w:pStyle w:val="ListBullet"/>
        <w:spacing w:before="0" w:after="80" w:line="276" w:lineRule="auto"/>
      </w:pPr>
      <w:r>
        <w:rPr>
          <w:rFonts w:ascii="Times New Roman" w:hAnsi="Times New Roman"/>
          <w:b/>
          <w:i w:val="0"/>
          <w:color w:val="000000"/>
          <w:sz w:val="24"/>
        </w:rPr>
        <w:t xml:space="preserve">Real transaction signing: </w:t>
      </w:r>
      <w:r>
        <w:rPr>
          <w:rFonts w:ascii="Times New Roman" w:hAnsi="Times New Roman"/>
          <w:b w:val="0"/>
          <w:i w:val="0"/>
          <w:color w:val="000000"/>
          <w:sz w:val="24"/>
        </w:rPr>
        <w:t>The CLI currently relies on a node's unlocked accounts (eth_sendTransaction), which is fine for local development but not for a public chain. Adding local key management and eth_sendRawTransaction signing would be the single highest-value next step toward actual production use.</w:t>
      </w:r>
    </w:p>
    <w:p>
      <w:pPr>
        <w:pStyle w:val="ListBullet"/>
        <w:spacing w:before="0" w:after="80" w:line="276" w:lineRule="auto"/>
      </w:pPr>
      <w:r>
        <w:rPr>
          <w:rFonts w:ascii="Times New Roman" w:hAnsi="Times New Roman"/>
          <w:b/>
          <w:i w:val="0"/>
          <w:color w:val="000000"/>
          <w:sz w:val="24"/>
        </w:rPr>
        <w:t xml:space="preserve">Per-collaborator encryption: </w:t>
      </w:r>
      <w:r>
        <w:rPr>
          <w:rFonts w:ascii="Times New Roman" w:hAnsi="Times New Roman"/>
          <w:b w:val="0"/>
          <w:i w:val="0"/>
          <w:color w:val="000000"/>
          <w:sz w:val="24"/>
        </w:rPr>
        <w:t>The current scheme uses one shared passphrase for everyone with read access to a private repository, so revoking one person's access means rotating the passphrase for the whole group. Envelope encryption, wrapping a per-repository content key separately for each collaborator's public key, would allow individual revocation.</w:t>
      </w:r>
    </w:p>
    <w:p>
      <w:pPr>
        <w:pStyle w:val="ListBullet"/>
        <w:spacing w:before="0" w:after="80" w:line="276" w:lineRule="auto"/>
      </w:pPr>
      <w:r>
        <w:rPr>
          <w:rFonts w:ascii="Times New Roman" w:hAnsi="Times New Roman"/>
          <w:b/>
          <w:i w:val="0"/>
          <w:color w:val="000000"/>
          <w:sz w:val="24"/>
        </w:rPr>
        <w:t xml:space="preserve">Full merge-history reconstruction: </w:t>
      </w:r>
      <w:r>
        <w:rPr>
          <w:rFonts w:ascii="Times New Roman" w:hAnsi="Times New Roman"/>
          <w:b w:val="0"/>
          <w:i w:val="0"/>
          <w:color w:val="000000"/>
          <w:sz w:val="24"/>
        </w:rPr>
        <w:t>getFirstParentChain only follows first-parents by design, as a gas-cost tradeoff; a production-grade indexer replaying the full event log off-chain could reconstruct complete merge history without that limitation.</w:t>
      </w:r>
    </w:p>
    <w:p>
      <w:pPr>
        <w:pStyle w:val="ListBullet"/>
        <w:spacing w:before="0" w:after="80" w:line="276" w:lineRule="auto"/>
      </w:pPr>
      <w:r>
        <w:rPr>
          <w:rFonts w:ascii="Times New Roman" w:hAnsi="Times New Roman"/>
          <w:b/>
          <w:i w:val="0"/>
          <w:color w:val="000000"/>
          <w:sz w:val="24"/>
        </w:rPr>
        <w:t xml:space="preserve">A richer conflict resolution tool: </w:t>
      </w:r>
      <w:r>
        <w:rPr>
          <w:rFonts w:ascii="Times New Roman" w:hAnsi="Times New Roman"/>
          <w:b w:val="0"/>
          <w:i w:val="0"/>
          <w:color w:val="000000"/>
          <w:sz w:val="24"/>
        </w:rPr>
        <w:t>Rebase and PR-divergence conflicts currently resolve per whole file (--ours/--theirs); a line-level merge view, even if it stays client-side and never touches the chain, would make resolving a specific conflicting file less blunt than choosing one side entirely.</w:t>
      </w:r>
    </w:p>
    <w:p>
      <w:pPr>
        <w:pStyle w:val="ListBullet"/>
        <w:spacing w:before="0" w:after="80" w:line="276" w:lineRule="auto"/>
      </w:pPr>
      <w:r>
        <w:rPr>
          <w:rFonts w:ascii="Times New Roman" w:hAnsi="Times New Roman"/>
          <w:b/>
          <w:i w:val="0"/>
          <w:color w:val="000000"/>
          <w:sz w:val="24"/>
        </w:rPr>
        <w:t xml:space="preserve">Deployment to a public testnet: </w:t>
      </w:r>
      <w:r>
        <w:rPr>
          <w:rFonts w:ascii="Times New Roman" w:hAnsi="Times New Roman"/>
          <w:b w:val="0"/>
          <w:i w:val="0"/>
          <w:color w:val="000000"/>
          <w:sz w:val="24"/>
        </w:rPr>
        <w:t>To validate gas costs and transaction-confirmation behavior under real network conditions rather than only against a local, instantly-mining Hardhat node.</w:t>
      </w:r>
    </w:p>
    <w:p>
      <w:pPr>
        <w:spacing w:before="280" w:after="120"/>
        <w:jc w:val="left"/>
      </w:pPr>
      <w:r>
        <w:rPr>
          <w:rFonts w:ascii="Times New Roman" w:hAnsi="Times New Roman"/>
          <w:b/>
          <w:i w:val="0"/>
          <w:color w:val="000000"/>
          <w:sz w:val="26"/>
        </w:rPr>
        <w:t>9.3 APPLICATIONS</w:t>
      </w:r>
    </w:p>
    <w:p>
      <w:pPr>
        <w:spacing w:before="0" w:after="120" w:line="276" w:lineRule="auto"/>
        <w:jc w:val="both"/>
      </w:pPr>
      <w:r>
        <w:rPr>
          <w:rFonts w:ascii="Times New Roman" w:hAnsi="Times New Roman"/>
          <w:b w:val="0"/>
          <w:i w:val="0"/>
          <w:color w:val="000000"/>
          <w:sz w:val="24"/>
        </w:rPr>
        <w:t>The most direct application is exactly the one this project targets: a small team or an open-source project that wants commit history and code review enforced by something other than a platform operator's goodwill, particularly where contributors do not already trust each other or a shared employer. The same underlying pattern, moving only the trust-sensitive state transitions on-chain while keeping fast, local-first operations off it, generalizes beyond version control to other workflows built around a review-and-approve gate: document approval chains, configuration-change sign-off, or any process where 'who approved this, and in what order' needs to be provably tamper-resistant rather than merely logged somewhere a server administrator could edit.</w:t>
      </w:r>
    </w:p>
    <w:p>
      <w:r>
        <w:br w:type="page"/>
      </w:r>
    </w:p>
    <w:p>
      <w:pPr>
        <w:spacing w:before="360" w:after="360"/>
        <w:jc w:val="center"/>
      </w:pPr>
      <w:r>
        <w:rPr>
          <w:rFonts w:ascii="Times New Roman" w:hAnsi="Times New Roman"/>
          <w:b/>
          <w:i w:val="0"/>
          <w:color w:val="000000"/>
          <w:sz w:val="32"/>
        </w:rPr>
        <w:t>APPENDIX A</w:t>
        <w:br/>
        <w:t>FEASIBILITY &amp; COMPLEXITY ASSESSMENT</w:t>
      </w:r>
    </w:p>
    <w:p>
      <w:pPr>
        <w:spacing w:before="280" w:after="120"/>
        <w:jc w:val="left"/>
      </w:pPr>
      <w:r>
        <w:rPr>
          <w:rFonts w:ascii="Times New Roman" w:hAnsi="Times New Roman"/>
          <w:b/>
          <w:i w:val="0"/>
          <w:color w:val="000000"/>
          <w:sz w:val="26"/>
        </w:rPr>
        <w:t>A.1 TECHNICAL FEASIBILITY</w:t>
      </w:r>
    </w:p>
    <w:p>
      <w:pPr>
        <w:spacing w:before="0" w:after="120" w:line="276" w:lineRule="auto"/>
        <w:jc w:val="both"/>
      </w:pPr>
      <w:r>
        <w:rPr>
          <w:rFonts w:ascii="Times New Roman" w:hAnsi="Times New Roman"/>
          <w:b w:val="0"/>
          <w:i w:val="0"/>
          <w:color w:val="000000"/>
          <w:sz w:val="24"/>
        </w:rPr>
        <w:t>Every dependency this project needs (a Solidity compiler, an Ethereum-compatible JSON-RPC node, and compiler) is freely available and was actually used throughout development; nothing in the design depends on unreleased or inaccessible tooling. The two components with no existing library to lean on, Keccak-256 and the ABI codec, were the technical risk this project actually carried, and both were resolved by implementation and verification rather than assumed away, as described in Chapter 6.</w:t>
      </w:r>
    </w:p>
    <w:p>
      <w:pPr>
        <w:spacing w:before="280" w:after="120"/>
        <w:jc w:val="left"/>
      </w:pPr>
      <w:r>
        <w:rPr>
          <w:rFonts w:ascii="Times New Roman" w:hAnsi="Times New Roman"/>
          <w:b/>
          <w:i w:val="0"/>
          <w:color w:val="000000"/>
          <w:sz w:val="26"/>
        </w:rPr>
        <w:t>A.2 OPERATIONAL FEASIBILITY</w:t>
      </w:r>
    </w:p>
    <w:p>
      <w:pPr>
        <w:spacing w:before="0" w:after="120" w:line="276" w:lineRule="auto"/>
        <w:jc w:val="both"/>
      </w:pPr>
      <w:r>
        <w:rPr>
          <w:rFonts w:ascii="Times New Roman" w:hAnsi="Times New Roman"/>
          <w:b w:val="0"/>
          <w:i w:val="0"/>
          <w:color w:val="000000"/>
          <w:sz w:val="24"/>
        </w:rPr>
        <w:t>The command vocabulary (init, add, commit, branch, push, pull, rebase) deliberately mirrors Git, so the operational cost of adopting this tool is mostly the cost of learning which operations now require a confirmed transaction instead of being instantaneous, not a wholly new mental model.</w:t>
      </w:r>
    </w:p>
    <w:p>
      <w:pPr>
        <w:spacing w:before="280" w:after="120"/>
        <w:jc w:val="left"/>
      </w:pPr>
      <w:r>
        <w:rPr>
          <w:rFonts w:ascii="Times New Roman" w:hAnsi="Times New Roman"/>
          <w:b/>
          <w:i w:val="0"/>
          <w:color w:val="000000"/>
          <w:sz w:val="26"/>
        </w:rPr>
        <w:t>A.3 ECONOMIC FEASIBILITY</w:t>
      </w:r>
    </w:p>
    <w:p>
      <w:pPr>
        <w:spacing w:before="0" w:after="120" w:line="276" w:lineRule="auto"/>
        <w:jc w:val="both"/>
      </w:pPr>
      <w:r>
        <w:rPr>
          <w:rFonts w:ascii="Times New Roman" w:hAnsi="Times New Roman"/>
          <w:b w:val="0"/>
          <w:i w:val="0"/>
          <w:color w:val="000000"/>
          <w:sz w:val="24"/>
        </w:rPr>
        <w:t>Development required no paid infrastructure: a local Hardhat chain stood in for a live network throughout. The ongoing cost of real use would be the gas cost of transactions on whatever chain a team deploys to, which is exactly why the gas-cost model in Section 4.2 and Table 6.1 was treated as a design constraint from the start rather than an afterthought.</w:t>
      </w:r>
    </w:p>
    <w:p>
      <w:pPr>
        <w:spacing w:before="280" w:after="120"/>
        <w:jc w:val="left"/>
      </w:pPr>
      <w:r>
        <w:rPr>
          <w:rFonts w:ascii="Times New Roman" w:hAnsi="Times New Roman"/>
          <w:b/>
          <w:i w:val="0"/>
          <w:color w:val="000000"/>
          <w:sz w:val="26"/>
        </w:rPr>
        <w:t>A.4 ALGORITHMIC COMPLEXITY OF KEY COMPONENTS</w:t>
      </w:r>
    </w:p>
    <w:p>
      <w:pPr>
        <w:spacing w:before="0" w:after="120" w:line="276" w:lineRule="auto"/>
        <w:jc w:val="center"/>
      </w:pPr>
      <w:r>
        <w:rPr>
          <w:rFonts w:ascii="Times New Roman" w:hAnsi="Times New Roman"/>
          <w:b/>
          <w:i w:val="0"/>
          <w:color w:val="000000"/>
          <w:sz w:val="22"/>
        </w:rPr>
        <w:t>Table A.1: Time complexity of the project's core algorithms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00"/>
        <w:gridCol w:w="3000"/>
        <w:gridCol w:w="3000"/>
      </w:tblGrid>
      <w:tr>
        <w:tc>
          <w:tcPr>
            <w:tcW w:type="dxa" w:w="2880"/>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Component</w:t>
            </w:r>
          </w:p>
        </w:tc>
        <w:tc>
          <w:tcPr>
            <w:tcW w:type="dxa" w:w="3168"/>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Complexity</w:t>
            </w:r>
          </w:p>
        </w:tc>
        <w:tc>
          <w:tcPr>
            <w:tcW w:type="dxa" w:w="345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2"/>
              </w:rPr>
              <w:t>Note</w:t>
            </w:r>
          </w:p>
        </w:tc>
      </w:tr>
      <w:tr>
        <w:tc>
          <w:tcPr>
            <w:tcW w:type="dxa" w:w="288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Keccak-256 permutation</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O(1) per 136-byte block (fixed 24 rounds)</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Overall O(n) in input length n</w:t>
            </w:r>
          </w:p>
        </w:tc>
      </w:tr>
      <w:tr>
        <w:tc>
          <w:tcPr>
            <w:tcW w:type="dxa" w:w="288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Merkle tree root (objects.v)</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O(n log n)</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 = number of tracked files; dominated by sorting paths before hashing</w:t>
            </w:r>
          </w:p>
        </w:tc>
      </w:tr>
      <w:tr>
        <w:tc>
          <w:tcPr>
            <w:tcW w:type="dxa" w:w="288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Three-way merge (merge3.v)</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O(n)</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 = number of distinct tracked paths across base/ours/theirs</w:t>
            </w:r>
          </w:p>
        </w:tc>
      </w:tr>
      <w:tr>
        <w:tc>
          <w:tcPr>
            <w:tcW w:type="dxa" w:w="288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ABI encode/decode</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O(n)</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 = size of the encoded arguments/result</w:t>
            </w:r>
          </w:p>
        </w:tc>
      </w:tr>
      <w:tr>
        <w:tc>
          <w:tcPr>
            <w:tcW w:type="dxa" w:w="2880"/>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Blob chunking</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O(n)</w:t>
            </w:r>
          </w:p>
        </w:tc>
        <w:tc>
          <w:tcPr>
            <w:tcW w:type="dxa" w:w="345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 = blob size in bytes; chunk count = ceil(n / 24 KiB)</w:t>
            </w:r>
          </w:p>
        </w:tc>
      </w:tr>
    </w:tbl>
    <w:p>
      <w:pPr>
        <w:spacing w:after="120"/>
      </w:pPr>
    </w:p>
    <w:p>
      <w:pPr>
        <w:spacing w:before="0" w:after="120" w:line="276" w:lineRule="auto"/>
        <w:jc w:val="both"/>
      </w:pPr>
      <w:r>
        <w:rPr>
          <w:rFonts w:ascii="Times New Roman" w:hAnsi="Times New Roman"/>
          <w:b w:val="0"/>
          <w:i w:val="0"/>
          <w:color w:val="000000"/>
          <w:sz w:val="24"/>
        </w:rPr>
        <w:t>None of the operations this system performs client-side are worse than linear or log-linear in the size of the data they process; nothing in the design required framing any part of it as NP-hard or NP-complete, since the hard problem here was never computational complexity but trust, which is what the contract's role-based access control and review workflow address directly.</w:t>
      </w:r>
    </w:p>
    <w:p>
      <w:r>
        <w:br w:type="page"/>
      </w:r>
    </w:p>
    <w:p>
      <w:pPr>
        <w:spacing w:before="360" w:after="360"/>
        <w:jc w:val="center"/>
      </w:pPr>
      <w:r>
        <w:rPr>
          <w:rFonts w:ascii="Times New Roman" w:hAnsi="Times New Roman"/>
          <w:b/>
          <w:i w:val="0"/>
          <w:color w:val="000000"/>
          <w:sz w:val="32"/>
        </w:rPr>
        <w:t>APPENDIX B</w:t>
        <w:br/>
        <w:t>PAPER PUBLICATION / PRESENTATION</w:t>
      </w:r>
    </w:p>
    <w:p>
      <w:pPr>
        <w:spacing w:before="0" w:after="720" w:line="276" w:lineRule="auto"/>
        <w:jc w:val="both"/>
      </w:pPr>
      <w:r>
        <w:rPr>
          <w:rFonts w:ascii="Times New Roman" w:hAnsi="Times New Roman"/>
          <w:b w:val="0"/>
          <w:i w:val="0"/>
          <w:color w:val="000000"/>
          <w:sz w:val="24"/>
        </w:rPr>
        <w:t>No paper arising from this project has been submitted or presented at the time of writing. This section is left in place, per the department's report format, for the student group to complete if a paper is submitted before final submission of this report: title, authors, venue/journal name, and date/volume/page numbers or ISSN, with the acceptance certificate and camera-ready copy attached.</w:t>
      </w:r>
    </w:p>
    <w:p>
      <w:r>
        <w:br w:type="page"/>
      </w:r>
    </w:p>
    <w:p>
      <w:pPr>
        <w:spacing w:before="360" w:after="360"/>
        <w:jc w:val="center"/>
      </w:pPr>
      <w:r>
        <w:rPr>
          <w:rFonts w:ascii="Times New Roman" w:hAnsi="Times New Roman"/>
          <w:b/>
          <w:i w:val="0"/>
          <w:color w:val="000000"/>
          <w:sz w:val="32"/>
        </w:rPr>
        <w:t>APPENDIX C</w:t>
        <w:br/>
        <w:t>PLAGIARISM REPORT</w:t>
      </w:r>
    </w:p>
    <w:p>
      <w:pPr>
        <w:spacing w:before="0" w:after="720" w:line="276" w:lineRule="auto"/>
        <w:jc w:val="both"/>
      </w:pPr>
      <w:r>
        <w:rPr>
          <w:rFonts w:ascii="Times New Roman" w:hAnsi="Times New Roman"/>
          <w:b w:val="0"/>
          <w:i w:val="0"/>
          <w:color w:val="000000"/>
          <w:sz w:val="24"/>
        </w:rPr>
        <w:t>The department's plagiarism-check report for this document should be generated through the institute's designated plagiarism-detection tool and attached here as a printed or scanned copy before final submission, per instruction 19 of the report-format guidelines.</w:t>
      </w:r>
    </w:p>
    <w:p>
      <w:r>
        <w:br w:type="page"/>
      </w:r>
    </w:p>
    <w:p>
      <w:pPr>
        <w:spacing w:before="360" w:after="360"/>
        <w:jc w:val="center"/>
      </w:pPr>
      <w:r>
        <w:rPr>
          <w:rFonts w:ascii="Times New Roman" w:hAnsi="Times New Roman"/>
          <w:b/>
          <w:i w:val="0"/>
          <w:color w:val="000000"/>
          <w:sz w:val="32"/>
        </w:rPr>
        <w:t>REFERENCES</w:t>
      </w:r>
    </w:p>
    <w:p>
      <w:pPr>
        <w:spacing w:before="40" w:after="120" w:line="276" w:lineRule="auto"/>
      </w:pPr>
      <w:r>
        <w:rPr>
          <w:rFonts w:ascii="Times New Roman" w:hAnsi="Times New Roman"/>
          <w:b w:val="0"/>
          <w:i w:val="0"/>
          <w:color w:val="000000"/>
          <w:sz w:val="21"/>
        </w:rPr>
        <w:t>[1] S. Nakamoto, 'Bitcoin: A Peer-to-Peer Electronic Cash System,' White Paper, 2008.</w:t>
      </w:r>
    </w:p>
    <w:p>
      <w:pPr>
        <w:spacing w:before="40" w:after="120" w:line="276" w:lineRule="auto"/>
      </w:pPr>
      <w:r>
        <w:rPr>
          <w:rFonts w:ascii="Times New Roman" w:hAnsi="Times New Roman"/>
          <w:b w:val="0"/>
          <w:i w:val="0"/>
          <w:color w:val="000000"/>
          <w:sz w:val="21"/>
        </w:rPr>
        <w:t>[2] V. Buterin, 'A Next-Generation Smart Contract and Decentralized Application Platform,' Ethereum White Paper, 2014.</w:t>
      </w:r>
    </w:p>
    <w:p>
      <w:pPr>
        <w:spacing w:before="40" w:after="120" w:line="276" w:lineRule="auto"/>
      </w:pPr>
      <w:r>
        <w:rPr>
          <w:rFonts w:ascii="Times New Roman" w:hAnsi="Times New Roman"/>
          <w:b w:val="0"/>
          <w:i w:val="0"/>
          <w:color w:val="000000"/>
          <w:sz w:val="21"/>
        </w:rPr>
        <w:t>[3] G. Wood, 'Ethereum: A Secure Decentralised Generalised Transaction Ledger,' Ethereum Project Yellow Paper, 2014.</w:t>
      </w:r>
    </w:p>
    <w:p>
      <w:pPr>
        <w:spacing w:before="40" w:after="120" w:line="276" w:lineRule="auto"/>
      </w:pPr>
      <w:r>
        <w:rPr>
          <w:rFonts w:ascii="Times New Roman" w:hAnsi="Times New Roman"/>
          <w:b w:val="0"/>
          <w:i w:val="0"/>
          <w:color w:val="000000"/>
          <w:sz w:val="21"/>
        </w:rPr>
        <w:t>[4] NIST, 'SHA-3 Standard: Permutation-Based Hash and Extendable-Output Functions,' FIPS PUB 202, National Institute of Standards and Technology, 2015.</w:t>
      </w:r>
    </w:p>
    <w:p>
      <w:pPr>
        <w:spacing w:before="40" w:after="120" w:line="276" w:lineRule="auto"/>
      </w:pPr>
      <w:r>
        <w:rPr>
          <w:rFonts w:ascii="Times New Roman" w:hAnsi="Times New Roman"/>
          <w:b w:val="0"/>
          <w:i w:val="0"/>
          <w:color w:val="000000"/>
          <w:sz w:val="21"/>
        </w:rPr>
        <w:t>[5] G. Bertoni, J. Daemen, M. Peeters, and G. Van Assche, 'The Keccak Reference,' Submission to NIST SHA-3 Competition, 2011.</w:t>
      </w:r>
    </w:p>
    <w:p>
      <w:pPr>
        <w:spacing w:before="40" w:after="120" w:line="276" w:lineRule="auto"/>
      </w:pPr>
      <w:r>
        <w:rPr>
          <w:rFonts w:ascii="Times New Roman" w:hAnsi="Times New Roman"/>
          <w:b w:val="0"/>
          <w:i w:val="0"/>
          <w:color w:val="000000"/>
          <w:sz w:val="21"/>
        </w:rPr>
        <w:t>[6] Ethereum Foundation, 'Ethereum Contract ABI Specification,' Ethereum Documentation, 2024.</w:t>
      </w:r>
    </w:p>
    <w:p>
      <w:pPr>
        <w:spacing w:before="40" w:after="120" w:line="276" w:lineRule="auto"/>
      </w:pPr>
      <w:r>
        <w:rPr>
          <w:rFonts w:ascii="Times New Roman" w:hAnsi="Times New Roman"/>
          <w:b w:val="0"/>
          <w:i w:val="0"/>
          <w:color w:val="000000"/>
          <w:sz w:val="21"/>
        </w:rPr>
        <w:t>[7] D. Dworkin, 'Recommendation for Block Cipher Modes of Operation: Galois/Counter Mode (GCM) and GMAC,' NIST Special Publication 800-38D, 2007.</w:t>
      </w:r>
    </w:p>
    <w:p>
      <w:pPr>
        <w:spacing w:before="40" w:after="120" w:line="276" w:lineRule="auto"/>
      </w:pPr>
      <w:r>
        <w:rPr>
          <w:rFonts w:ascii="Times New Roman" w:hAnsi="Times New Roman"/>
          <w:b w:val="0"/>
          <w:i w:val="0"/>
          <w:color w:val="000000"/>
          <w:sz w:val="21"/>
        </w:rPr>
        <w:t>[8] J. Benet, 'IPFS - Content Addressed, Versioned, P2P File System,' arXiv:1407.3561, 2014.</w:t>
      </w:r>
    </w:p>
    <w:p>
      <w:pPr>
        <w:spacing w:before="40" w:after="120" w:line="276" w:lineRule="auto"/>
      </w:pPr>
      <w:r>
        <w:rPr>
          <w:rFonts w:ascii="Times New Roman" w:hAnsi="Times New Roman"/>
          <w:b w:val="0"/>
          <w:i w:val="0"/>
          <w:color w:val="000000"/>
          <w:sz w:val="21"/>
        </w:rPr>
        <w:t>[9] L. Torvalds and Git Contributors, 'Git: Fast Version Control System,' Open-Source Project, 2005.</w:t>
      </w:r>
    </w:p>
    <w:p>
      <w:pPr>
        <w:spacing w:before="40" w:after="120" w:line="276" w:lineRule="auto"/>
      </w:pPr>
      <w:r>
        <w:rPr>
          <w:rFonts w:ascii="Times New Roman" w:hAnsi="Times New Roman"/>
          <w:b w:val="0"/>
          <w:i w:val="0"/>
          <w:color w:val="000000"/>
          <w:sz w:val="21"/>
        </w:rPr>
        <w:t>[10] V Community, 'The V Programming Language Documentation,' The V Language Foundation, 2024.</w:t>
      </w:r>
    </w:p>
    <w:p>
      <w:pPr>
        <w:spacing w:before="40" w:after="120" w:line="276" w:lineRule="auto"/>
      </w:pPr>
      <w:r>
        <w:rPr>
          <w:rFonts w:ascii="Times New Roman" w:hAnsi="Times New Roman"/>
          <w:b w:val="0"/>
          <w:i w:val="0"/>
          <w:color w:val="000000"/>
          <w:sz w:val="21"/>
        </w:rPr>
        <w:t>[11] OpenZeppelin, 'OpenZeppelin Contracts: A Library for Secure Smart Contract Development,' 2024.</w:t>
      </w:r>
    </w:p>
    <w:p>
      <w:pPr>
        <w:spacing w:before="40" w:after="120" w:line="276" w:lineRule="auto"/>
      </w:pPr>
      <w:r>
        <w:rPr>
          <w:rFonts w:ascii="Times New Roman" w:hAnsi="Times New Roman"/>
          <w:b w:val="0"/>
          <w:i w:val="0"/>
          <w:color w:val="000000"/>
          <w:sz w:val="21"/>
        </w:rPr>
        <w:t>[12] N. Szabo, 'Formalizing and Securing Relationships on Public Networks,' First Monday, vol. 2, no. 9, 1997.</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505050"/>
        <w:sz w:val="18"/>
      </w:rPr>
      <w:t>CSCOE, Department of Computer Science and Engineering 2026-27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