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0A" w:rsidRDefault="001D6669">
      <w:pPr>
        <w:pStyle w:val="Title"/>
      </w:pPr>
      <w:r>
        <w:t xml:space="preserve">Credit Card Fraud </w:t>
      </w:r>
      <w:r w:rsidR="007C760A">
        <w:t xml:space="preserve">Detection </w:t>
      </w:r>
    </w:p>
    <w:p w:rsidR="009A5DE8" w:rsidRDefault="007C760A">
      <w:pPr>
        <w:pStyle w:val="Title"/>
      </w:pPr>
      <w:r>
        <w:t>Report – Feb</w:t>
      </w:r>
      <w:r w:rsidR="001D6669">
        <w:t xml:space="preserve"> 2025</w:t>
      </w:r>
    </w:p>
    <w:p w:rsidR="009A5DE8" w:rsidRDefault="007C760A">
      <w:pPr>
        <w:pStyle w:val="Heading1"/>
      </w:pPr>
      <w:r>
        <w:t xml:space="preserve">1. </w:t>
      </w:r>
      <w:r w:rsidR="001D6669">
        <w:t>Summary</w:t>
      </w:r>
    </w:p>
    <w:p w:rsidR="009A5DE8" w:rsidRDefault="001D6669">
      <w:r>
        <w:t>This report presents a comprehensive analysis of credit card transaction data to assess fraud risk. A total of over 1,050,000 transactions were reviewed, with a fraud rate of 0.57%.</w:t>
      </w:r>
      <w:r>
        <w:t xml:space="preserve"> Although the percentage is low, the financial impact and pattern of occurrences justify a targeted response.</w:t>
      </w:r>
    </w:p>
    <w:p w:rsidR="009A5DE8" w:rsidRDefault="001D6669">
      <w:pPr>
        <w:pStyle w:val="Heading1"/>
      </w:pPr>
      <w:r>
        <w:t>2. Key Insights</w:t>
      </w:r>
    </w:p>
    <w:p w:rsidR="009A5DE8" w:rsidRDefault="001D6669">
      <w:r>
        <w:t>- Fraud rate is low at 0.57%, yet the number of fraudulent transactions (~6,017) is significant in scale.</w:t>
      </w:r>
      <w:r>
        <w:br/>
        <w:t>- January and February s</w:t>
      </w:r>
      <w:r>
        <w:t>howed the highest number of frauds, indicating seasonal or campaign-linked spikes.</w:t>
      </w:r>
      <w:r>
        <w:br/>
        <w:t>- Certain transaction categories are repeatedly involved in fraudulent activity.</w:t>
      </w:r>
      <w:r>
        <w:br/>
        <w:t>- Users aged 26–40 are slightly more prone to fraud, suggesting this group might need target</w:t>
      </w:r>
      <w:r>
        <w:t>ed awareness.</w:t>
      </w:r>
      <w:r>
        <w:br/>
        <w:t>- Some users are linked to multiple fraud cases, indicating potential misuse or account compromise.</w:t>
      </w:r>
    </w:p>
    <w:p w:rsidR="009A5DE8" w:rsidRDefault="001D6669">
      <w:pPr>
        <w:pStyle w:val="Heading1"/>
      </w:pPr>
      <w:r>
        <w:t>3. Fraud Risk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5DE8">
        <w:tc>
          <w:tcPr>
            <w:tcW w:w="4320" w:type="dxa"/>
          </w:tcPr>
          <w:p w:rsidR="009A5DE8" w:rsidRDefault="001D6669">
            <w:r>
              <w:t>Metric</w:t>
            </w:r>
          </w:p>
        </w:tc>
        <w:tc>
          <w:tcPr>
            <w:tcW w:w="4320" w:type="dxa"/>
          </w:tcPr>
          <w:p w:rsidR="009A5DE8" w:rsidRDefault="001D6669">
            <w:r>
              <w:t>Value</w:t>
            </w:r>
          </w:p>
        </w:tc>
      </w:tr>
      <w:tr w:rsidR="009A5DE8">
        <w:tc>
          <w:tcPr>
            <w:tcW w:w="4320" w:type="dxa"/>
          </w:tcPr>
          <w:p w:rsidR="009A5DE8" w:rsidRDefault="001D6669">
            <w:r>
              <w:t>Total Transactions</w:t>
            </w:r>
          </w:p>
        </w:tc>
        <w:tc>
          <w:tcPr>
            <w:tcW w:w="4320" w:type="dxa"/>
          </w:tcPr>
          <w:p w:rsidR="009A5DE8" w:rsidRDefault="001D6669">
            <w:r>
              <w:t>1,050,000+</w:t>
            </w:r>
          </w:p>
        </w:tc>
      </w:tr>
      <w:tr w:rsidR="009A5DE8">
        <w:tc>
          <w:tcPr>
            <w:tcW w:w="4320" w:type="dxa"/>
          </w:tcPr>
          <w:p w:rsidR="009A5DE8" w:rsidRDefault="001D6669">
            <w:r>
              <w:t>Fraudulent Transactions</w:t>
            </w:r>
          </w:p>
        </w:tc>
        <w:tc>
          <w:tcPr>
            <w:tcW w:w="4320" w:type="dxa"/>
          </w:tcPr>
          <w:p w:rsidR="009A5DE8" w:rsidRDefault="001D6669">
            <w:r>
              <w:t>6,017</w:t>
            </w:r>
          </w:p>
        </w:tc>
      </w:tr>
      <w:tr w:rsidR="009A5DE8">
        <w:tc>
          <w:tcPr>
            <w:tcW w:w="4320" w:type="dxa"/>
          </w:tcPr>
          <w:p w:rsidR="009A5DE8" w:rsidRDefault="001D6669">
            <w:r>
              <w:t>Fraud Rate</w:t>
            </w:r>
          </w:p>
        </w:tc>
        <w:tc>
          <w:tcPr>
            <w:tcW w:w="4320" w:type="dxa"/>
          </w:tcPr>
          <w:p w:rsidR="009A5DE8" w:rsidRDefault="001D6669">
            <w:r>
              <w:t>0.57%</w:t>
            </w:r>
          </w:p>
        </w:tc>
      </w:tr>
      <w:tr w:rsidR="009A5DE8">
        <w:tc>
          <w:tcPr>
            <w:tcW w:w="4320" w:type="dxa"/>
          </w:tcPr>
          <w:p w:rsidR="009A5DE8" w:rsidRDefault="001D6669">
            <w:r>
              <w:t>Avg Transaction Value</w:t>
            </w:r>
          </w:p>
        </w:tc>
        <w:tc>
          <w:tcPr>
            <w:tcW w:w="4320" w:type="dxa"/>
          </w:tcPr>
          <w:p w:rsidR="009A5DE8" w:rsidRDefault="001D6669">
            <w:r>
              <w:t>$70</w:t>
            </w:r>
          </w:p>
        </w:tc>
      </w:tr>
      <w:tr w:rsidR="009A5DE8">
        <w:tc>
          <w:tcPr>
            <w:tcW w:w="4320" w:type="dxa"/>
          </w:tcPr>
          <w:p w:rsidR="009A5DE8" w:rsidRDefault="001D6669">
            <w:r>
              <w:t>Estimated Fraud Amount</w:t>
            </w:r>
          </w:p>
        </w:tc>
        <w:tc>
          <w:tcPr>
            <w:tcW w:w="4320" w:type="dxa"/>
          </w:tcPr>
          <w:p w:rsidR="009A5DE8" w:rsidRDefault="001D6669">
            <w:r>
              <w:t>~$420,000 (approx.)</w:t>
            </w:r>
          </w:p>
        </w:tc>
      </w:tr>
    </w:tbl>
    <w:p w:rsidR="009A5DE8" w:rsidRDefault="001D6669">
      <w:pPr>
        <w:pStyle w:val="Heading1"/>
      </w:pPr>
      <w:r>
        <w:t>4. Risk Breakdown</w:t>
      </w:r>
    </w:p>
    <w:p w:rsidR="009A5DE8" w:rsidRDefault="001D6669">
      <w:r>
        <w:t>Majority of frauds fall into the Low Risk category based on available patterns.</w:t>
      </w:r>
      <w:r>
        <w:br/>
        <w:t>However, Medium and High-Risk transactions, though fewer, account for a higher financial impact.</w:t>
      </w:r>
      <w:r>
        <w:br/>
        <w:t xml:space="preserve">Continuous </w:t>
      </w:r>
      <w:r>
        <w:t>tracking of these risk buckets is essential for early detection.</w:t>
      </w:r>
    </w:p>
    <w:p w:rsidR="009A5DE8" w:rsidRDefault="001D6669">
      <w:pPr>
        <w:pStyle w:val="Heading1"/>
      </w:pPr>
      <w:r>
        <w:lastRenderedPageBreak/>
        <w:t>5. Monthly Trend Summary</w:t>
      </w:r>
    </w:p>
    <w:p w:rsidR="009A5DE8" w:rsidRDefault="001D6669">
      <w:r>
        <w:t>Highest fraud counts observed in January and February.</w:t>
      </w:r>
      <w:r>
        <w:br/>
        <w:t>Remaining months showed relatively stable or declining patterns.</w:t>
      </w:r>
      <w:r>
        <w:br/>
        <w:t>Monitoring during the beginning of the year is</w:t>
      </w:r>
      <w:r>
        <w:t xml:space="preserve"> crucial.</w:t>
      </w:r>
    </w:p>
    <w:p w:rsidR="009A5DE8" w:rsidRDefault="001D6669">
      <w:pPr>
        <w:pStyle w:val="Heading1"/>
      </w:pPr>
      <w:r>
        <w:t>6. Category-Wise Fraud Summary</w:t>
      </w:r>
    </w:p>
    <w:p w:rsidR="009A5DE8" w:rsidRDefault="001D6669">
      <w:r>
        <w:t>A small set of transaction categories contributed disproportionately to fraud.</w:t>
      </w:r>
      <w:r>
        <w:br/>
        <w:t>These high-risk categories should be reviewed with stricter rules or filters.</w:t>
      </w:r>
      <w:r>
        <w:br/>
        <w:t>Non-essential services and miscellaneous expenses were com</w:t>
      </w:r>
      <w:r>
        <w:t>mon fraud targets.</w:t>
      </w:r>
    </w:p>
    <w:p w:rsidR="009A5DE8" w:rsidRDefault="001D6669">
      <w:pPr>
        <w:pStyle w:val="Heading1"/>
      </w:pPr>
      <w:r>
        <w:t>7. Demographic Risk Profile</w:t>
      </w:r>
    </w:p>
    <w:p w:rsidR="009A5DE8" w:rsidRDefault="001D6669">
      <w:r>
        <w:t>Age group 26–40 had the highest involvement in fraud cases.</w:t>
      </w:r>
      <w:r>
        <w:br/>
        <w:t>No significant trend observed based on gender.</w:t>
      </w:r>
      <w:r>
        <w:br/>
        <w:t>No strong locational pattern, but urban centers saw slightly higher activity.</w:t>
      </w:r>
    </w:p>
    <w:p w:rsidR="009A5DE8" w:rsidRDefault="007C760A">
      <w:pPr>
        <w:pStyle w:val="Heading1"/>
      </w:pPr>
      <w:r>
        <w:t>8.</w:t>
      </w:r>
      <w:r w:rsidR="001D6669">
        <w:t xml:space="preserve"> Action Plan</w:t>
      </w:r>
    </w:p>
    <w:p w:rsidR="009A5DE8" w:rsidRDefault="001D6669">
      <w:r>
        <w:t>1. Enhanc</w:t>
      </w:r>
      <w:r>
        <w:t>e monitoring during peak fraud months (Jan–Feb)</w:t>
      </w:r>
      <w:r>
        <w:br/>
        <w:t>2. Deploy additional fraud filters for high-risk categories</w:t>
      </w:r>
      <w:r>
        <w:br/>
        <w:t>3. Flag and review users associated with multiple fraud transactions</w:t>
      </w:r>
      <w:r>
        <w:br/>
        <w:t>4. Launch targeted awareness campaigns for users aged 26–40</w:t>
      </w:r>
      <w:r>
        <w:br/>
        <w:t xml:space="preserve">5. Conduct regular </w:t>
      </w:r>
      <w:r>
        <w:t>a</w:t>
      </w:r>
      <w:r w:rsidR="007C760A">
        <w:t>udits even with low fraud rates</w:t>
      </w:r>
    </w:p>
    <w:p w:rsidR="009A5DE8" w:rsidRDefault="001D6669">
      <w:pPr>
        <w:pStyle w:val="Heading1"/>
      </w:pPr>
      <w:r>
        <w:t>9. Conclusion</w:t>
      </w:r>
    </w:p>
    <w:p w:rsidR="009A5DE8" w:rsidRDefault="001D6669">
      <w:r>
        <w:t>Although the fraud rate is below 1%, the absolute number of fraud cases and financial risk is non-trivial. Through targeted action and consistent monito</w:t>
      </w:r>
      <w:r>
        <w:t>rin</w:t>
      </w:r>
      <w:r w:rsidR="007C760A">
        <w:t xml:space="preserve">g, future risks can be </w:t>
      </w:r>
      <w:bookmarkStart w:id="0" w:name="_GoBack"/>
      <w:bookmarkEnd w:id="0"/>
      <w:r w:rsidR="007C760A">
        <w:t xml:space="preserve">reduced and </w:t>
      </w:r>
      <w:r>
        <w:t>customer trust can be maintained</w:t>
      </w:r>
      <w:r w:rsidR="007C760A">
        <w:t>.</w:t>
      </w:r>
    </w:p>
    <w:sectPr w:rsidR="009A5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6669"/>
    <w:rsid w:val="0029639D"/>
    <w:rsid w:val="00326F90"/>
    <w:rsid w:val="007C760A"/>
    <w:rsid w:val="009A5D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8B4B"/>
  <w14:defaultImageDpi w14:val="300"/>
  <w15:docId w15:val="{82E81C46-2532-4291-A44A-48CF9E8D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5C50E-4145-4E61-A481-05A389E1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Nirav</cp:lastModifiedBy>
  <cp:revision>2</cp:revision>
  <dcterms:created xsi:type="dcterms:W3CDTF">2025-06-01T09:04:00Z</dcterms:created>
  <dcterms:modified xsi:type="dcterms:W3CDTF">2025-06-01T09:04:00Z</dcterms:modified>
  <cp:category/>
</cp:coreProperties>
</file>