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120"/>
        <w:jc w:val="center"/>
      </w:pPr>
      <w:r>
        <w:rPr>
          <w:rFonts w:ascii="Times New Roman" w:cs="Times New Roman" w:eastAsia="Times New Roman" w:hAnsi="Times New Roman"/>
          <w:b/>
          <w:bCs/>
          <w:sz w:val="28"/>
          <w:szCs w:val="28"/>
        </w:rPr>
        <w:t xml:space="preserve">VISVESVARAYA TECHNOLOGICAL UNIVERSITY</w:t>
      </w:r>
    </w:p>
    <w:p>
      <w:pPr>
        <w:spacing w:after="120"/>
        <w:jc w:val="center"/>
      </w:pPr>
      <w:r>
        <w:rPr>
          <w:rFonts w:ascii="Times New Roman" w:cs="Times New Roman" w:eastAsia="Times New Roman" w:hAnsi="Times New Roman"/>
          <w:b w:val="false"/>
          <w:bCs w:val="false"/>
          <w:sz w:val="24"/>
          <w:szCs w:val="24"/>
        </w:rPr>
        <w:t xml:space="preserve">JNANASANGAMA, BELAGAVI - 590018</w:t>
      </w:r>
    </w:p>
    <w:p>
      <w:pPr>
        <w:spacing w:after="400"/>
      </w:pPr>
    </w:p>
    <w:p>
      <w:pPr>
        <w:spacing w:after="120"/>
        <w:jc w:val="center"/>
      </w:pPr>
      <w:r>
        <w:rPr>
          <w:rFonts w:ascii="Times New Roman" w:cs="Times New Roman" w:eastAsia="Times New Roman" w:hAnsi="Times New Roman"/>
          <w:b/>
          <w:bCs/>
          <w:sz w:val="28"/>
          <w:szCs w:val="28"/>
        </w:rPr>
        <w:t xml:space="preserve">Mini Project Report</w:t>
      </w:r>
    </w:p>
    <w:p>
      <w:pPr>
        <w:spacing w:after="120"/>
        <w:jc w:val="center"/>
      </w:pPr>
      <w:r>
        <w:rPr>
          <w:rFonts w:ascii="Times New Roman" w:cs="Times New Roman" w:eastAsia="Times New Roman" w:hAnsi="Times New Roman"/>
          <w:b w:val="false"/>
          <w:bCs w:val="false"/>
          <w:sz w:val="24"/>
          <w:szCs w:val="24"/>
        </w:rPr>
        <w:t xml:space="preserve">on</w:t>
      </w:r>
    </w:p>
    <w:p>
      <w:pPr>
        <w:spacing w:after="120"/>
      </w:pPr>
    </w:p>
    <w:p>
      <w:pPr>
        <w:spacing w:after="120"/>
        <w:jc w:val="center"/>
      </w:pPr>
      <w:r>
        <w:rPr>
          <w:rFonts w:ascii="Times New Roman" w:cs="Times New Roman" w:eastAsia="Times New Roman" w:hAnsi="Times New Roman"/>
          <w:b/>
          <w:bCs/>
          <w:sz w:val="26"/>
          <w:szCs w:val="26"/>
        </w:rPr>
        <w:t xml:space="preserve">A Data-Driven Comparative Analysis of Hybrid</w:t>
      </w:r>
    </w:p>
    <w:p>
      <w:pPr>
        <w:spacing w:after="120"/>
        <w:jc w:val="center"/>
      </w:pPr>
      <w:r>
        <w:rPr>
          <w:rFonts w:ascii="Times New Roman" w:cs="Times New Roman" w:eastAsia="Times New Roman" w:hAnsi="Times New Roman"/>
          <w:b/>
          <w:bCs/>
          <w:sz w:val="26"/>
          <w:szCs w:val="26"/>
        </w:rPr>
        <w:t xml:space="preserve">Continual Learning Methods:</w:t>
      </w:r>
    </w:p>
    <w:p>
      <w:pPr>
        <w:spacing w:after="120"/>
        <w:jc w:val="center"/>
      </w:pPr>
      <w:r>
        <w:rPr>
          <w:rFonts w:ascii="Times New Roman" w:cs="Times New Roman" w:eastAsia="Times New Roman" w:hAnsi="Times New Roman"/>
          <w:b/>
          <w:bCs/>
          <w:sz w:val="26"/>
          <w:szCs w:val="26"/>
        </w:rPr>
        <w:t xml:space="preserve">Mitigating Catastrophic Forgetting</w:t>
      </w:r>
    </w:p>
    <w:p>
      <w:pPr>
        <w:spacing w:after="400"/>
      </w:pPr>
    </w:p>
    <w:p>
      <w:pPr>
        <w:spacing w:after="120"/>
        <w:jc w:val="center"/>
      </w:pPr>
      <w:r>
        <w:rPr>
          <w:rFonts w:ascii="Times New Roman" w:cs="Times New Roman" w:eastAsia="Times New Roman" w:hAnsi="Times New Roman"/>
          <w:b w:val="false"/>
          <w:bCs w:val="false"/>
          <w:sz w:val="24"/>
          <w:szCs w:val="24"/>
        </w:rPr>
        <w:t xml:space="preserve">Submitted in partial fulfillment for the award of degree of</w:t>
      </w:r>
    </w:p>
    <w:p>
      <w:pPr>
        <w:spacing w:after="80"/>
      </w:pPr>
    </w:p>
    <w:p>
      <w:pPr>
        <w:spacing w:after="120"/>
        <w:jc w:val="center"/>
      </w:pPr>
      <w:r>
        <w:rPr>
          <w:rFonts w:ascii="Times New Roman" w:cs="Times New Roman" w:eastAsia="Times New Roman" w:hAnsi="Times New Roman"/>
          <w:b/>
          <w:bCs/>
          <w:sz w:val="24"/>
          <w:szCs w:val="24"/>
        </w:rPr>
        <w:t xml:space="preserve">Bachelor of Engineering</w:t>
      </w:r>
    </w:p>
    <w:p>
      <w:pPr>
        <w:spacing w:after="120"/>
        <w:jc w:val="center"/>
      </w:pPr>
      <w:r>
        <w:rPr>
          <w:rFonts w:ascii="Times New Roman" w:cs="Times New Roman" w:eastAsia="Times New Roman" w:hAnsi="Times New Roman"/>
          <w:b w:val="false"/>
          <w:bCs w:val="false"/>
          <w:sz w:val="24"/>
          <w:szCs w:val="24"/>
        </w:rPr>
        <w:t xml:space="preserve">in</w:t>
      </w:r>
    </w:p>
    <w:p>
      <w:pPr>
        <w:spacing w:after="120"/>
        <w:jc w:val="center"/>
      </w:pPr>
      <w:r>
        <w:rPr>
          <w:rFonts w:ascii="Times New Roman" w:cs="Times New Roman" w:eastAsia="Times New Roman" w:hAnsi="Times New Roman"/>
          <w:b/>
          <w:bCs/>
          <w:sz w:val="24"/>
          <w:szCs w:val="24"/>
        </w:rPr>
        <w:t xml:space="preserve">COMPUTER SCIENCE AND ENGINEERING</w:t>
      </w:r>
    </w:p>
    <w:p>
      <w:pPr>
        <w:spacing w:after="400"/>
      </w:pPr>
    </w:p>
    <w:p>
      <w:pPr>
        <w:spacing w:after="120"/>
        <w:jc w:val="center"/>
      </w:pPr>
      <w:r>
        <w:rPr>
          <w:rFonts w:ascii="Times New Roman" w:cs="Times New Roman" w:eastAsia="Times New Roman" w:hAnsi="Times New Roman"/>
          <w:b/>
          <w:bCs/>
          <w:sz w:val="24"/>
          <w:szCs w:val="24"/>
        </w:rPr>
        <w:t xml:space="preserve">Submitted by</w:t>
      </w:r>
    </w:p>
    <w:p>
      <w:pPr>
        <w:spacing w:after="80"/>
      </w:pPr>
    </w:p>
    <w:p>
      <w:pPr>
        <w:spacing w:after="120"/>
        <w:jc w:val="center"/>
      </w:pPr>
      <w:r>
        <w:rPr>
          <w:rFonts w:ascii="Times New Roman" w:cs="Times New Roman" w:eastAsia="Times New Roman" w:hAnsi="Times New Roman"/>
          <w:b w:val="false"/>
          <w:bCs w:val="false"/>
          <w:sz w:val="24"/>
          <w:szCs w:val="24"/>
        </w:rPr>
        <w:t xml:space="preserve">1BG23CS154   Soham Rao</w:t>
      </w:r>
    </w:p>
    <w:p>
      <w:pPr>
        <w:spacing w:after="120"/>
        <w:jc w:val="center"/>
      </w:pPr>
      <w:r>
        <w:rPr>
          <w:rFonts w:ascii="Times New Roman" w:cs="Times New Roman" w:eastAsia="Times New Roman" w:hAnsi="Times New Roman"/>
          <w:b w:val="false"/>
          <w:bCs w:val="false"/>
          <w:sz w:val="24"/>
          <w:szCs w:val="24"/>
        </w:rPr>
        <w:t xml:space="preserve">1BG23CS162   Suhas R</w:t>
      </w:r>
    </w:p>
    <w:p>
      <w:pPr>
        <w:spacing w:after="240"/>
      </w:pPr>
    </w:p>
    <w:p>
      <w:pPr>
        <w:spacing w:after="120"/>
        <w:jc w:val="center"/>
      </w:pPr>
      <w:r>
        <w:rPr>
          <w:rFonts w:ascii="Times New Roman" w:cs="Times New Roman" w:eastAsia="Times New Roman" w:hAnsi="Times New Roman"/>
          <w:b/>
          <w:bCs/>
          <w:sz w:val="24"/>
          <w:szCs w:val="24"/>
        </w:rPr>
        <w:t xml:space="preserve">Dr. Anitha N</w:t>
      </w:r>
    </w:p>
    <w:p>
      <w:pPr>
        <w:spacing w:after="120"/>
        <w:jc w:val="center"/>
      </w:pPr>
      <w:r>
        <w:rPr>
          <w:rFonts w:ascii="Times New Roman" w:cs="Times New Roman" w:eastAsia="Times New Roman" w:hAnsi="Times New Roman"/>
          <w:b w:val="false"/>
          <w:bCs w:val="false"/>
          <w:sz w:val="24"/>
          <w:szCs w:val="24"/>
        </w:rPr>
        <w:t xml:space="preserve">Professor, Dept. of CSE</w:t>
      </w:r>
    </w:p>
    <w:p>
      <w:pPr>
        <w:spacing w:after="120"/>
        <w:jc w:val="center"/>
      </w:pPr>
      <w:r>
        <w:rPr>
          <w:rFonts w:ascii="Times New Roman" w:cs="Times New Roman" w:eastAsia="Times New Roman" w:hAnsi="Times New Roman"/>
          <w:b w:val="false"/>
          <w:bCs w:val="false"/>
          <w:sz w:val="24"/>
          <w:szCs w:val="24"/>
        </w:rPr>
        <w:t xml:space="preserve">BNMIT, Bengaluru</w:t>
      </w:r>
    </w:p>
    <w:p>
      <w:pPr>
        <w:spacing w:after="400"/>
      </w:pPr>
    </w:p>
    <w:p>
      <w:pPr>
        <w:spacing w:after="120"/>
        <w:jc w:val="center"/>
      </w:pPr>
      <w:r>
        <w:rPr>
          <w:rFonts w:ascii="Times New Roman" w:cs="Times New Roman" w:eastAsia="Times New Roman" w:hAnsi="Times New Roman"/>
          <w:b/>
          <w:bCs/>
          <w:sz w:val="26"/>
          <w:szCs w:val="26"/>
        </w:rPr>
        <w:t xml:space="preserve">B.N.M. Institute of Technology</w:t>
      </w:r>
    </w:p>
    <w:p>
      <w:pPr>
        <w:spacing w:after="120"/>
        <w:jc w:val="center"/>
      </w:pPr>
      <w:r>
        <w:rPr>
          <w:rFonts w:ascii="Times New Roman" w:cs="Times New Roman" w:eastAsia="Times New Roman" w:hAnsi="Times New Roman"/>
          <w:b w:val="false"/>
          <w:bCs w:val="false"/>
          <w:sz w:val="22"/>
          <w:szCs w:val="22"/>
        </w:rPr>
        <w:t xml:space="preserve">An Autonomous Institution under VTU</w:t>
      </w:r>
    </w:p>
    <w:p>
      <w:pPr>
        <w:spacing w:after="120"/>
        <w:jc w:val="center"/>
      </w:pPr>
      <w:r>
        <w:rPr>
          <w:rFonts w:ascii="Times New Roman" w:cs="Times New Roman" w:eastAsia="Times New Roman" w:hAnsi="Times New Roman"/>
          <w:b w:val="false"/>
          <w:bCs w:val="false"/>
          <w:sz w:val="22"/>
          <w:szCs w:val="22"/>
        </w:rPr>
        <w:t xml:space="preserve">Approved by AICTE, Accredited as grade A Institution by NAAC.</w:t>
      </w:r>
    </w:p>
    <w:p>
      <w:pPr>
        <w:spacing w:after="120"/>
        <w:jc w:val="center"/>
      </w:pPr>
      <w:r>
        <w:rPr>
          <w:rFonts w:ascii="Times New Roman" w:cs="Times New Roman" w:eastAsia="Times New Roman" w:hAnsi="Times New Roman"/>
          <w:b w:val="false"/>
          <w:bCs w:val="false"/>
          <w:sz w:val="22"/>
          <w:szCs w:val="22"/>
        </w:rPr>
        <w:t xml:space="preserve">All eligible branches – CSE, ECE, EEE, ISE are Accredited by NBA</w:t>
      </w:r>
    </w:p>
    <w:p>
      <w:pPr>
        <w:spacing w:after="120"/>
        <w:jc w:val="center"/>
      </w:pPr>
      <w:r>
        <w:rPr>
          <w:rFonts w:ascii="Times New Roman" w:cs="Times New Roman" w:eastAsia="Times New Roman" w:hAnsi="Times New Roman"/>
          <w:b w:val="false"/>
          <w:bCs w:val="false"/>
          <w:sz w:val="22"/>
          <w:szCs w:val="22"/>
        </w:rPr>
        <w:t xml:space="preserve">for academic years 2018 – 2024-25 &amp; valid upto 30.06.2028</w:t>
      </w:r>
    </w:p>
    <w:p>
      <w:pPr>
        <w:spacing w:after="120"/>
      </w:pPr>
    </w:p>
    <w:p>
      <w:pPr>
        <w:spacing w:after="120"/>
        <w:jc w:val="center"/>
      </w:pPr>
      <w:r>
        <w:rPr>
          <w:rFonts w:ascii="Times New Roman" w:cs="Times New Roman" w:eastAsia="Times New Roman" w:hAnsi="Times New Roman"/>
          <w:b/>
          <w:bCs/>
          <w:sz w:val="24"/>
          <w:szCs w:val="24"/>
        </w:rPr>
        <w:t xml:space="preserve">Department of Computer Science and Engineering</w:t>
      </w:r>
    </w:p>
    <w:p>
      <w:pPr>
        <w:spacing w:after="120"/>
        <w:jc w:val="center"/>
      </w:pPr>
      <w:r>
        <w:rPr>
          <w:rFonts w:ascii="Times New Roman" w:cs="Times New Roman" w:eastAsia="Times New Roman" w:hAnsi="Times New Roman"/>
          <w:b/>
          <w:bCs/>
          <w:sz w:val="24"/>
          <w:szCs w:val="24"/>
        </w:rPr>
        <w:t xml:space="preserve">2025 – 26</w:t>
      </w:r>
    </w:p>
    <w:p>
      <w:r>
        <w:br w:type="page"/>
      </w:r>
    </w:p>
    <w:p>
      <w:pPr>
        <w:pStyle w:val="Heading1"/>
        <w:spacing w:before="320" w:after="160"/>
      </w:pPr>
      <w:r>
        <w:rPr>
          <w:rFonts w:ascii="Times New Roman" w:cs="Times New Roman" w:eastAsia="Times New Roman" w:hAnsi="Times New Roman"/>
          <w:b/>
          <w:bCs/>
          <w:sz w:val="28"/>
          <w:szCs w:val="28"/>
        </w:rPr>
        <w:t xml:space="preserve">2. Literature Survey</w:t>
      </w:r>
    </w:p>
    <w:p>
      <w:pPr>
        <w:pStyle w:val="Heading2"/>
        <w:spacing w:before="240" w:after="120"/>
      </w:pPr>
      <w:r>
        <w:rPr>
          <w:rFonts w:ascii="Times New Roman" w:cs="Times New Roman" w:eastAsia="Times New Roman" w:hAnsi="Times New Roman"/>
          <w:b/>
          <w:bCs/>
          <w:i w:val="false"/>
          <w:iCs w:val="false"/>
          <w:sz w:val="26"/>
          <w:szCs w:val="26"/>
        </w:rPr>
        <w:t xml:space="preserve">2.1 Introduction</w:t>
      </w:r>
    </w:p>
    <w:p>
      <w:pPr>
        <w:spacing w:after="160" w:line="276"/>
        <w:jc w:val="both"/>
      </w:pPr>
      <w:r>
        <w:rPr>
          <w:rFonts w:ascii="Times New Roman" w:cs="Times New Roman" w:eastAsia="Times New Roman" w:hAnsi="Times New Roman"/>
          <w:sz w:val="24"/>
          <w:szCs w:val="24"/>
        </w:rPr>
        <w:t xml:space="preserve">The ability to learn continuously from an ever-evolving data stream — retaining previously acquired knowledge while integrating new information — is a hallmark of biological intelligence. Human beings effortlessly accumulate skills over a lifetime: a student who learns calculus does not forget arithmetic; a doctor who masters a new surgical technique retains mastery of older procedures. Artificial neural networks, however, exhibit a striking and troublesome failure mode: when trained sequentially on multiple tasks, they tend to abruptly lose performance on earlier tasks as they adapt to new ones. This phenomenon is known as catastrophic forgetting (also termed catastrophic interference) and represents one of the most fundamental open challenges in machine learning.</w:t>
      </w:r>
    </w:p>
    <w:p>
      <w:pPr>
        <w:spacing w:after="160" w:line="276"/>
        <w:jc w:val="both"/>
      </w:pPr>
      <w:r>
        <w:rPr>
          <w:rFonts w:ascii="Times New Roman" w:cs="Times New Roman" w:eastAsia="Times New Roman" w:hAnsi="Times New Roman"/>
          <w:sz w:val="24"/>
          <w:szCs w:val="24"/>
        </w:rPr>
        <w:t xml:space="preserve">Catastrophic forgetting was first rigorously identified by McCloskey &amp; Cohen (1989) and was subsequently studied in depth by French (1999), who showed that the problem is deeply rooted in the way distributed representations share the same weight space across tasks. Since then, the field of Continual Learning (CL) — also referred to as Lifelong Learning or Incremental Learning — has grown dramatically, producing three broad families of solutions: regularization-based methods, replay-based methods, and architecture-based methods. More recent research has shown that hybrid combinations of these strategies often outperform any single approach.</w:t>
      </w:r>
    </w:p>
    <w:p>
      <w:pPr>
        <w:spacing w:after="160" w:line="276"/>
        <w:jc w:val="both"/>
      </w:pPr>
      <w:r>
        <w:rPr>
          <w:rFonts w:ascii="Times New Roman" w:cs="Times New Roman" w:eastAsia="Times New Roman" w:hAnsi="Times New Roman"/>
          <w:sz w:val="24"/>
          <w:szCs w:val="24"/>
        </w:rPr>
        <w:t xml:space="preserve">This literature survey traces the intellectual history of these approaches, beginning with the foundational memory mechanisms of Transformer architectures, through the mathematical characterization of forgetting, and ending with a detailed review of the most influential methods in each category. The survey is organized to provide both conceptual clarity and mathematical depth, equipping the reader with the background necessary to appreciate the novelty and scope of the present project.</w:t>
      </w:r>
    </w:p>
    <w:p>
      <w:pPr>
        <w:pStyle w:val="Heading2"/>
        <w:spacing w:before="240" w:after="120"/>
      </w:pPr>
      <w:r>
        <w:rPr>
          <w:rFonts w:ascii="Times New Roman" w:cs="Times New Roman" w:eastAsia="Times New Roman" w:hAnsi="Times New Roman"/>
          <w:b/>
          <w:bCs/>
          <w:i w:val="false"/>
          <w:iCs w:val="false"/>
          <w:sz w:val="26"/>
          <w:szCs w:val="26"/>
        </w:rPr>
        <w:t xml:space="preserve">2.2 Memory Mechanisms in Neural Networks and Transformers</w:t>
      </w:r>
    </w:p>
    <w:p>
      <w:pPr>
        <w:spacing w:after="160" w:line="276"/>
        <w:jc w:val="both"/>
      </w:pPr>
      <w:r>
        <w:rPr>
          <w:rFonts w:ascii="Times New Roman" w:cs="Times New Roman" w:eastAsia="Times New Roman" w:hAnsi="Times New Roman"/>
          <w:sz w:val="24"/>
          <w:szCs w:val="24"/>
        </w:rPr>
        <w:t xml:space="preserve">To understand why neural networks forget, one must first understand how they remember. Unlike traditional computer memory — where information is stored in discrete, addressable registers — neural networks encode knowledge in a distributed manner across millions of numerical parameters (weights and biases). When a network learns to classify images of cats, the resulting "knowledge" is not stored in any single neuron or weight, but is spread as a pattern across the entire parameter space.</w:t>
      </w:r>
    </w:p>
    <w:p>
      <w:pPr>
        <w:pStyle w:val="Heading3"/>
        <w:spacing w:before="200" w:after="100"/>
      </w:pPr>
      <w:r>
        <w:rPr>
          <w:rFonts w:ascii="Times New Roman" w:cs="Times New Roman" w:eastAsia="Times New Roman" w:hAnsi="Times New Roman"/>
          <w:b/>
          <w:bCs/>
          <w:sz w:val="24"/>
          <w:szCs w:val="24"/>
        </w:rPr>
        <w:t xml:space="preserve">2.2.1 Parametric Memory and Distributed Representations</w:t>
      </w:r>
    </w:p>
    <w:p>
      <w:pPr>
        <w:spacing w:after="160" w:line="276"/>
        <w:jc w:val="both"/>
      </w:pPr>
      <w:r>
        <w:rPr>
          <w:rFonts w:ascii="Times New Roman" w:cs="Times New Roman" w:eastAsia="Times New Roman" w:hAnsi="Times New Roman"/>
          <w:sz w:val="24"/>
          <w:szCs w:val="24"/>
        </w:rPr>
        <w:t xml:space="preserve">The primary memory substrate in any deep learning model is its weight matrices. During training via backpropagation, these matrices are iteratively nudged to minimize a loss function over the training data. The resulting parameter configuration encodes the statistical regularities of the training distribution. Critically, because multiple concepts share the same weights (superimposition), modifying weights for one task can corrupt representations of another — this is the root cause of interference.</w:t>
      </w:r>
    </w:p>
    <w:p>
      <w:pPr>
        <w:spacing w:after="160" w:line="276"/>
        <w:jc w:val="both"/>
      </w:pPr>
      <w:r>
        <w:rPr>
          <w:rFonts w:ascii="Times New Roman" w:cs="Times New Roman" w:eastAsia="Times New Roman" w:hAnsi="Times New Roman"/>
          <w:sz w:val="24"/>
          <w:szCs w:val="24"/>
        </w:rPr>
        <w:t xml:space="preserve">Knowledge stored in neural networks has three key characteristics. First, it is superimposed: multiple pieces of information share the same weights simultaneously. Second, it is interference-prone: modifying weights for new learning can corrupt existing information. Third, it is non-localized: a single concept activates patterns across many neurons, meaning there is no simple "memory address" one can protect. These properties collectively give rise to catastrophic forgetting when sequential training occurs.</w:t>
      </w:r>
    </w:p>
    <w:p>
      <w:pPr>
        <w:pStyle w:val="Heading3"/>
        <w:spacing w:before="200" w:after="100"/>
      </w:pPr>
      <w:r>
        <w:rPr>
          <w:rFonts w:ascii="Times New Roman" w:cs="Times New Roman" w:eastAsia="Times New Roman" w:hAnsi="Times New Roman"/>
          <w:b/>
          <w:bCs/>
          <w:sz w:val="24"/>
          <w:szCs w:val="24"/>
        </w:rPr>
        <w:t xml:space="preserve">2.2.2 The Transformer Architecture and Self-Attention</w:t>
      </w:r>
    </w:p>
    <w:p>
      <w:pPr>
        <w:spacing w:after="160" w:line="276"/>
        <w:jc w:val="both"/>
      </w:pPr>
      <w:r>
        <w:rPr>
          <w:rFonts w:ascii="Times New Roman" w:cs="Times New Roman" w:eastAsia="Times New Roman" w:hAnsi="Times New Roman"/>
          <w:sz w:val="24"/>
          <w:szCs w:val="24"/>
        </w:rPr>
        <w:t xml:space="preserve">The Transformer architecture, introduced by Vaswani et al. (2017), revolutionized deep learning by replacing recurrence entirely with self-attention mechanisms. Understanding the Transformer's memory is important because Vision Transformers (ViT) are now widely used in continual learning research, and the mechanisms of forgetting in Transformers differ subtly from those in convolutional networks.</w:t>
      </w:r>
    </w:p>
    <w:p>
      <w:pPr>
        <w:spacing w:after="160" w:line="276"/>
        <w:jc w:val="both"/>
      </w:pPr>
      <w:r>
        <w:rPr>
          <w:rFonts w:ascii="Times New Roman" w:cs="Times New Roman" w:eastAsia="Times New Roman" w:hAnsi="Times New Roman"/>
          <w:sz w:val="24"/>
          <w:szCs w:val="24"/>
        </w:rPr>
        <w:t xml:space="preserve">Self-attention computes relationships between all positions in a sequence through three learned projection matrices — Query (Q), Key (K), and Value (V). The attention score formula is: Attention(Q, K, V) = softmax(QK^T / sqrt(d_k)) * V, where d_k is the dimensionality of the key vectors. The scaling factor sqrt(d_k) prevents the dot products from growing too large, which would push the softmax into saturation regions with near-zero gradients.</w:t>
      </w:r>
    </w:p>
    <w:p>
      <w:pPr>
        <w:spacing w:after="160" w:line="276"/>
        <w:jc w:val="both"/>
      </w:pPr>
      <w:r>
        <w:rPr>
          <w:rFonts w:ascii="Times New Roman" w:cs="Times New Roman" w:eastAsia="Times New Roman" w:hAnsi="Times New Roman"/>
          <w:sz w:val="24"/>
          <w:szCs w:val="24"/>
        </w:rPr>
        <w:t xml:space="preserve">The Query matrix asks "what am I looking for?", the Key matrix answers "what does each token offer?", and the Value matrix provides the actual content. The softmax converts the dot-product similarity scores into a probability distribution, enabling differentiable, end-to-end trainable attention. Multi-head attention applies this mechanism H times in parallel with different learned projections, allowing the model to jointly attend to information from different representation subspaces.</w:t>
      </w:r>
    </w:p>
    <w:p>
      <w:pPr>
        <w:spacing w:after="160" w:line="276"/>
        <w:jc w:val="both"/>
      </w:pPr>
      <w:r>
        <w:rPr>
          <w:rFonts w:ascii="Times New Roman" w:cs="Times New Roman" w:eastAsia="Times New Roman" w:hAnsi="Times New Roman"/>
          <w:sz w:val="24"/>
          <w:szCs w:val="24"/>
        </w:rPr>
        <w:t xml:space="preserve">Feed-forward layers within the Transformer have been shown by Geva et al. (2021) to function as key-value memories that store factual associations, while the attention layers primarily handle relational and contextual reasoning. Positional encodings inject sequence order information, enabling the otherwise permutation-invariant attention mechanism to process ordered sequences. Together, these components create a rich, interconnected memory system that is both powerful and vulnerable to interference.</w:t>
      </w:r>
    </w:p>
    <w:p>
      <w:pPr>
        <w:spacing w:after="160" w:line="276"/>
        <w:jc w:val="both"/>
      </w:pPr>
      <w:r>
        <w:rPr>
          <w:rFonts w:ascii="Times New Roman" w:cs="Times New Roman" w:eastAsia="Times New Roman" w:hAnsi="Times New Roman"/>
          <w:sz w:val="24"/>
          <w:szCs w:val="24"/>
        </w:rPr>
        <w:t xml:space="preserve">Scialom et al. (2022) demonstrated empirically that even large instruction-tuned language models suffer significant performance degradation on original tasks when sequentially fine-tuned on new ones. Wang et al. (2024) provided a comprehensive analysis confirming that specialized continual learning techniques are necessary even for Transformers. These findings motivate the inclusion of Vision Transformers (ViT-Small) as a backbone in the present study.</w:t>
      </w:r>
    </w:p>
    <w:p>
      <w:pPr>
        <w:pStyle w:val="Heading2"/>
        <w:spacing w:before="240" w:after="120"/>
      </w:pPr>
      <w:r>
        <w:rPr>
          <w:rFonts w:ascii="Times New Roman" w:cs="Times New Roman" w:eastAsia="Times New Roman" w:hAnsi="Times New Roman"/>
          <w:b/>
          <w:bCs/>
          <w:i w:val="false"/>
          <w:iCs w:val="false"/>
          <w:sz w:val="26"/>
          <w:szCs w:val="26"/>
        </w:rPr>
        <w:t xml:space="preserve">2.3 Catastrophic Forgetting: The Fundamental Challenge</w:t>
      </w:r>
    </w:p>
    <w:p>
      <w:pPr>
        <w:pStyle w:val="Heading3"/>
        <w:spacing w:before="200" w:after="100"/>
      </w:pPr>
      <w:r>
        <w:rPr>
          <w:rFonts w:ascii="Times New Roman" w:cs="Times New Roman" w:eastAsia="Times New Roman" w:hAnsi="Times New Roman"/>
          <w:b/>
          <w:bCs/>
          <w:sz w:val="24"/>
          <w:szCs w:val="24"/>
        </w:rPr>
        <w:t xml:space="preserve">2.3.1 The Stability-Plasticity Dilemma</w:t>
      </w:r>
    </w:p>
    <w:p>
      <w:pPr>
        <w:spacing w:after="160" w:line="276"/>
        <w:jc w:val="both"/>
      </w:pPr>
      <w:r>
        <w:rPr>
          <w:rFonts w:ascii="Times New Roman" w:cs="Times New Roman" w:eastAsia="Times New Roman" w:hAnsi="Times New Roman"/>
          <w:sz w:val="24"/>
          <w:szCs w:val="24"/>
        </w:rPr>
        <w:t xml:space="preserve">The core tension in continual learning is captured by what Grossberg (1980) termed the stability-plasticity dilemma. Plasticity refers to the network's ability to rapidly absorb new information; stability refers to its ability to retain previously learned knowledge without degradation. High plasticity enables fast learning but risks overwriting old memories; high stability preserves old knowledge but may prevent adaptation to new data. No simple training procedure simultaneously achieves both — this is the fundamental challenge that the continual learning literature seeks to address.</w:t>
      </w:r>
    </w:p>
    <w:p>
      <w:pPr>
        <w:spacing w:after="160" w:line="276"/>
        <w:jc w:val="both"/>
      </w:pPr>
      <w:r>
        <w:rPr>
          <w:rFonts w:ascii="Times New Roman" w:cs="Times New Roman" w:eastAsia="Times New Roman" w:hAnsi="Times New Roman"/>
          <w:sz w:val="24"/>
          <w:szCs w:val="24"/>
        </w:rPr>
        <w:t xml:space="preserve">In formal terms, when a network with parameters theta is trained sequentially on tasks T_1 through T_N, each gradient update step is computed purely with respect to the current task's loss. The update rule theta_new = theta - eta * gradient(L_B, theta) nudges the parameter vector toward a minimum of task B's loss function, without regard for the task A optimum that was previously found. If the loss landscapes of A and B are misaligned — which is the rule rather than the exception — the new optimum may be far from the old one, and performance on A collapses.</w:t>
      </w:r>
    </w:p>
    <w:p>
      <w:pPr>
        <w:pStyle w:val="Heading3"/>
        <w:spacing w:before="200" w:after="100"/>
      </w:pPr>
      <w:r>
        <w:rPr>
          <w:rFonts w:ascii="Times New Roman" w:cs="Times New Roman" w:eastAsia="Times New Roman" w:hAnsi="Times New Roman"/>
          <w:b/>
          <w:bCs/>
          <w:sz w:val="24"/>
          <w:szCs w:val="24"/>
        </w:rPr>
        <w:t xml:space="preserve">2.3.2 Quantifying Forgetting</w:t>
      </w:r>
    </w:p>
    <w:p>
      <w:pPr>
        <w:spacing w:after="160" w:line="276"/>
        <w:jc w:val="both"/>
      </w:pPr>
      <w:r>
        <w:rPr>
          <w:rFonts w:ascii="Times New Roman" w:cs="Times New Roman" w:eastAsia="Times New Roman" w:hAnsi="Times New Roman"/>
          <w:sz w:val="24"/>
          <w:szCs w:val="24"/>
        </w:rPr>
        <w:t xml:space="preserve">To measure forgetting empirically, the field has developed a suite of complementary metrics. The Forgetting Measure F quantifies how much performance has dropped relative to each task's peak: F = (1/(T-1)) * sum_i [ max_{j&lt;t} a_{j,i} - a_{t,i} ], where a_{j,i} is accuracy on task i evaluated after training on task j. If a model achieves 90% on task 1 immediately after learning it, but only 60% after learning five subsequent tasks, the forgetting on task 1 is 30 percentage points.</w:t>
      </w:r>
    </w:p>
    <w:p>
      <w:pPr>
        <w:spacing w:after="160" w:line="276"/>
        <w:jc w:val="both"/>
      </w:pPr>
      <w:r>
        <w:rPr>
          <w:rFonts w:ascii="Times New Roman" w:cs="Times New Roman" w:eastAsia="Times New Roman" w:hAnsi="Times New Roman"/>
          <w:sz w:val="24"/>
          <w:szCs w:val="24"/>
        </w:rPr>
        <w:t xml:space="preserve">Average Accuracy (AA) provides an overall measure of how well the model retains all tasks simultaneously: AA = (1/T) * sum_i a_{T,i}. Backward Transfer (BWT) captures whether later learning helped or hurt earlier tasks: BWT = (1/(T-1)) * sum_i (a_{T,i} - a_{i,i}). A negative BWT indicates forgetting; a positive BWT indicates that later tasks improved performance on earlier ones. Forward Transfer (FWT) measures whether prior learning gave a head start on new tasks: FWT = (1/(T-1)) * sum_i (a_{i-1,i} - b_i), where b_i is baseline performance on task i from random initialization. Together, these metrics provide a multi-dimensional view of a model's continual learning behaviour.</w:t>
      </w:r>
    </w:p>
    <w:p>
      <w:pPr>
        <w:pStyle w:val="Heading3"/>
        <w:spacing w:before="200" w:after="100"/>
      </w:pPr>
      <w:r>
        <w:rPr>
          <w:rFonts w:ascii="Times New Roman" w:cs="Times New Roman" w:eastAsia="Times New Roman" w:hAnsi="Times New Roman"/>
          <w:b/>
          <w:bCs/>
          <w:sz w:val="24"/>
          <w:szCs w:val="24"/>
        </w:rPr>
        <w:t xml:space="preserve">2.3.3 Continual Learning Scenarios</w:t>
      </w:r>
    </w:p>
    <w:p>
      <w:pPr>
        <w:spacing w:after="160" w:line="276"/>
        <w:jc w:val="both"/>
      </w:pPr>
      <w:r>
        <w:rPr>
          <w:rFonts w:ascii="Times New Roman" w:cs="Times New Roman" w:eastAsia="Times New Roman" w:hAnsi="Times New Roman"/>
          <w:sz w:val="24"/>
          <w:szCs w:val="24"/>
        </w:rPr>
        <w:t xml:space="preserve">Van de Ven &amp; Tolias (2019) formalized three distinct evaluation scenarios for continual learning systems, which differ in the information available at test time. Task-Incremental Learning (Task-IL) provides task identity at test time, making it the easiest scenario — the model only needs to select the correct task head. Domain-Incremental Learning (Domain-IL) changes the input distribution across tasks but maintains the same output space; task identity is not provided at test time. Class-Incremental Learning (Class-IL) is the most challenging scenario: new classes are introduced with each task, and at test time the model must classify inputs across all seen classes without knowing which task they belong to.</w:t>
      </w:r>
    </w:p>
    <w:p>
      <w:pPr>
        <w:spacing w:after="160" w:line="276"/>
        <w:jc w:val="both"/>
      </w:pPr>
      <w:r>
        <w:rPr>
          <w:rFonts w:ascii="Times New Roman" w:cs="Times New Roman" w:eastAsia="Times New Roman" w:hAnsi="Times New Roman"/>
          <w:sz w:val="24"/>
          <w:szCs w:val="24"/>
        </w:rPr>
        <w:t xml:space="preserve">This project evaluates methods primarily in the Class-IL scenario, which is the most realistic and the most studied in recent literature. The Permuted MNIST dataset instantiates the Domain-IL scenario, while CIFAR-100, Mini-ImageNet, and Tiny-ImageNet instantiate Class-IL.</w:t>
      </w:r>
    </w:p>
    <w:p>
      <w:pPr>
        <w:pStyle w:val="Heading2"/>
        <w:spacing w:before="240" w:after="120"/>
      </w:pPr>
      <w:r>
        <w:rPr>
          <w:rFonts w:ascii="Times New Roman" w:cs="Times New Roman" w:eastAsia="Times New Roman" w:hAnsi="Times New Roman"/>
          <w:b/>
          <w:bCs/>
          <w:i w:val="false"/>
          <w:iCs w:val="false"/>
          <w:sz w:val="26"/>
          <w:szCs w:val="26"/>
        </w:rPr>
        <w:t xml:space="preserve">2.4 Regularization-Based Methods</w:t>
      </w:r>
    </w:p>
    <w:p>
      <w:pPr>
        <w:spacing w:after="160" w:line="276"/>
        <w:jc w:val="both"/>
      </w:pPr>
      <w:r>
        <w:rPr>
          <w:rFonts w:ascii="Times New Roman" w:cs="Times New Roman" w:eastAsia="Times New Roman" w:hAnsi="Times New Roman"/>
          <w:sz w:val="24"/>
          <w:szCs w:val="24"/>
        </w:rPr>
        <w:t xml:space="preserve">Regularization-based methods address catastrophic forgetting by modifying the loss function to penalize changes to parameters that were important for previous tasks. Crucially, they require no additional storage of old data — all protection is achieved through mathematical constraints on the optimization trajectory. This family of methods was the first principled approach to continual learning and remains influential as both standalone baselines and components in hybrid systems.</w:t>
      </w:r>
    </w:p>
    <w:p>
      <w:pPr>
        <w:pStyle w:val="Heading3"/>
        <w:spacing w:before="200" w:after="100"/>
      </w:pPr>
      <w:r>
        <w:rPr>
          <w:rFonts w:ascii="Times New Roman" w:cs="Times New Roman" w:eastAsia="Times New Roman" w:hAnsi="Times New Roman"/>
          <w:b/>
          <w:bCs/>
          <w:sz w:val="24"/>
          <w:szCs w:val="24"/>
        </w:rPr>
        <w:t xml:space="preserve">2.4.1 Elastic Weight Consolidation (EWC)</w:t>
      </w:r>
    </w:p>
    <w:p>
      <w:pPr>
        <w:spacing w:after="160" w:line="276"/>
        <w:jc w:val="both"/>
      </w:pPr>
      <w:r>
        <w:rPr>
          <w:rFonts w:ascii="Times New Roman" w:cs="Times New Roman" w:eastAsia="Times New Roman" w:hAnsi="Times New Roman"/>
          <w:sz w:val="24"/>
          <w:szCs w:val="24"/>
        </w:rPr>
        <w:t xml:space="preserve">Kirkpatrick et al. (2017) introduced Elastic Weight Consolidation (EWC), one of the most influential works in continual learning. The key insight is that not all weights are equally important for a given task: some weights can be freely modified without affecting task performance, while others are critical. EWC estimates parameter importance using the Fisher Information Matrix (FIM), which measures the curvature of the loss surface with respect to each parameter — a high-curvature parameter is one that, if changed, would cause a large increase in loss.</w:t>
      </w:r>
    </w:p>
    <w:p>
      <w:pPr>
        <w:spacing w:after="160" w:line="276"/>
        <w:jc w:val="both"/>
      </w:pPr>
      <w:r>
        <w:rPr>
          <w:rFonts w:ascii="Times New Roman" w:cs="Times New Roman" w:eastAsia="Times New Roman" w:hAnsi="Times New Roman"/>
          <w:sz w:val="24"/>
          <w:szCs w:val="24"/>
        </w:rPr>
        <w:t xml:space="preserve">The EWC loss function for learning task B after task A is: L(theta) = L_B(theta) + sum_i (lambda/2) * F_i * (theta_i - theta*_{A,i})^2, where F_i is the diagonal Fisher Information for parameter i, theta*_{A,i} is the optimal value of parameter i after training on task A, and lambda controls the strength of the regularization. The quadratic penalty term prevents important weights from deviating far from their task-A optima, providing a soft anchor that allows some plasticity while enforcing stability where it matters most.</w:t>
      </w:r>
    </w:p>
    <w:p>
      <w:pPr>
        <w:spacing w:after="160" w:line="276"/>
        <w:jc w:val="both"/>
      </w:pPr>
      <w:r>
        <w:rPr>
          <w:rFonts w:ascii="Times New Roman" w:cs="Times New Roman" w:eastAsia="Times New Roman" w:hAnsi="Times New Roman"/>
          <w:sz w:val="24"/>
          <w:szCs w:val="24"/>
        </w:rPr>
        <w:t xml:space="preserve">Kirkpatrick et al. demonstrated that EWC successfully maintained performance on multiple Atari games and classification tasks simultaneously, without forgetting — a landmark result that showed selective weight protection was both theoretically grounded and practically viable. The main limitation of EWC is that the Fisher Information must be computed at each task boundary, adding computational overhead, and the diagonal approximation may miss important cross-weight correlations.</w:t>
      </w:r>
    </w:p>
    <w:p>
      <w:pPr>
        <w:pStyle w:val="Heading3"/>
        <w:spacing w:before="200" w:after="100"/>
      </w:pPr>
      <w:r>
        <w:rPr>
          <w:rFonts w:ascii="Times New Roman" w:cs="Times New Roman" w:eastAsia="Times New Roman" w:hAnsi="Times New Roman"/>
          <w:b/>
          <w:bCs/>
          <w:sz w:val="24"/>
          <w:szCs w:val="24"/>
        </w:rPr>
        <w:t xml:space="preserve">2.4.2 Synaptic Intelligence (SI)</w:t>
      </w:r>
    </w:p>
    <w:p>
      <w:pPr>
        <w:spacing w:after="160" w:line="276"/>
        <w:jc w:val="both"/>
      </w:pPr>
      <w:r>
        <w:rPr>
          <w:rFonts w:ascii="Times New Roman" w:cs="Times New Roman" w:eastAsia="Times New Roman" w:hAnsi="Times New Roman"/>
          <w:sz w:val="24"/>
          <w:szCs w:val="24"/>
        </w:rPr>
        <w:t xml:space="preserve">Zenke, Poole &amp; Ganguli (2017) proposed Synaptic Intelligence (SI), which accumulates parameter importance online during the training trajectory rather than computing it only at task boundaries. The importance measure for weight k across all previous tasks is: Omega_k = sum_{mu &lt; t} omega_k^mu / ((Delta_k^mu)^2 + xi), where omega_k^mu is the cumulative contribution of weight k to the loss reduction during task mu (computed as the path integral of the gradient-weighted parameter change), and Delta_k^mu is the total change in weight k during task mu.</w:t>
      </w:r>
    </w:p>
    <w:p>
      <w:pPr>
        <w:spacing w:after="160" w:line="276"/>
        <w:jc w:val="both"/>
      </w:pPr>
      <w:r>
        <w:rPr>
          <w:rFonts w:ascii="Times New Roman" w:cs="Times New Roman" w:eastAsia="Times New Roman" w:hAnsi="Times New Roman"/>
          <w:sz w:val="24"/>
          <w:szCs w:val="24"/>
        </w:rPr>
        <w:t xml:space="preserve">The intuition behind SI is elegant: a weight is important if it contributed significantly to reducing the loss (high omega) while barely changing (low Delta). If a weight moved a great deal during training, it is probably a "flexible" weight that can be reused for new tasks. If it barely moved but still drove down loss, it encodes something critical and should be protected. Unlike EWC, SI captures the full learning trajectory rather than just the endpoint, and it updates importance estimates without requiring a separate computation phase at task boundaries. Zenke et al. showed that SI achieves comparable or better results than EWC on Split-MNIST while being more computationally efficient.</w:t>
      </w:r>
    </w:p>
    <w:p>
      <w:pPr>
        <w:pStyle w:val="Heading3"/>
        <w:spacing w:before="200" w:after="100"/>
      </w:pPr>
      <w:r>
        <w:rPr>
          <w:rFonts w:ascii="Times New Roman" w:cs="Times New Roman" w:eastAsia="Times New Roman" w:hAnsi="Times New Roman"/>
          <w:b/>
          <w:bCs/>
          <w:sz w:val="24"/>
          <w:szCs w:val="24"/>
        </w:rPr>
        <w:t xml:space="preserve">2.4.3 Learning without Forgetting (LwF)</w:t>
      </w:r>
    </w:p>
    <w:p>
      <w:pPr>
        <w:spacing w:after="160" w:line="276"/>
        <w:jc w:val="both"/>
      </w:pPr>
      <w:r>
        <w:rPr>
          <w:rFonts w:ascii="Times New Roman" w:cs="Times New Roman" w:eastAsia="Times New Roman" w:hAnsi="Times New Roman"/>
          <w:sz w:val="24"/>
          <w:szCs w:val="24"/>
        </w:rPr>
        <w:t xml:space="preserve">Li &amp; Hoiem (2017) introduced Learning without Forgetting (LwF), which uses knowledge distillation as the mechanism for protecting old task knowledge. Before learning a new task, LwF records the model's predictions on the new task data as "pseudo-labels" for old tasks. During training, the loss function combines a standard cross-entropy term for the new task with a distillation term that penalizes deviation from these pseudo-labels: L = L_new(Y_n, Y_hat_n) + lambda * L_distill(Y_o, Y_hat_o).</w:t>
      </w:r>
    </w:p>
    <w:p>
      <w:pPr>
        <w:spacing w:after="160" w:line="276"/>
        <w:jc w:val="both"/>
      </w:pPr>
      <w:r>
        <w:rPr>
          <w:rFonts w:ascii="Times New Roman" w:cs="Times New Roman" w:eastAsia="Times New Roman" w:hAnsi="Times New Roman"/>
          <w:sz w:val="24"/>
          <w:szCs w:val="24"/>
        </w:rPr>
        <w:t xml:space="preserve">The clever insight in LwF is that no old data is required — the model's own predictions on new task inputs serve as proxies for its old-task knowledge. While this is elegant and practical, LwF's effectiveness degrades as tasks become more dissimilar, because the pseudo-labels become less reliable guides to old-task performance. Nevertheless, LwF remains a strong baseline and its knowledge distillation component has been incorporated into many subsequent hybrid methods, including DER and X-DER.</w:t>
      </w:r>
    </w:p>
    <w:p>
      <w:pPr>
        <w:pStyle w:val="Heading2"/>
        <w:spacing w:before="240" w:after="120"/>
      </w:pPr>
      <w:r>
        <w:rPr>
          <w:rFonts w:ascii="Times New Roman" w:cs="Times New Roman" w:eastAsia="Times New Roman" w:hAnsi="Times New Roman"/>
          <w:b/>
          <w:bCs/>
          <w:i w:val="false"/>
          <w:iCs w:val="false"/>
          <w:sz w:val="26"/>
          <w:szCs w:val="26"/>
        </w:rPr>
        <w:t xml:space="preserve">2.5 Replay-Based Methods</w:t>
      </w:r>
    </w:p>
    <w:p>
      <w:pPr>
        <w:spacing w:after="160" w:line="276"/>
        <w:jc w:val="both"/>
      </w:pPr>
      <w:r>
        <w:rPr>
          <w:rFonts w:ascii="Times New Roman" w:cs="Times New Roman" w:eastAsia="Times New Roman" w:hAnsi="Times New Roman"/>
          <w:sz w:val="24"/>
          <w:szCs w:val="24"/>
        </w:rPr>
        <w:t xml:space="preserve">Replay-based methods combat forgetting by maintaining a memory buffer of examples from previous tasks and interleaving them with new task data during training. This directly addresses the distribution shift problem: by re-exposing the model to past data, the optimizer is forced to maintain gradients compatible with old tasks. Replay methods tend to be more flexible than regularization approaches because they can encode arbitrarily complex old-task structure, not just parameter-level importance scores.</w:t>
      </w:r>
    </w:p>
    <w:p>
      <w:pPr>
        <w:pStyle w:val="Heading3"/>
        <w:spacing w:before="200" w:after="100"/>
      </w:pPr>
      <w:r>
        <w:rPr>
          <w:rFonts w:ascii="Times New Roman" w:cs="Times New Roman" w:eastAsia="Times New Roman" w:hAnsi="Times New Roman"/>
          <w:b/>
          <w:bCs/>
          <w:sz w:val="24"/>
          <w:szCs w:val="24"/>
        </w:rPr>
        <w:t xml:space="preserve">2.5.1 Gradient Episodic Memory (GEM)</w:t>
      </w:r>
    </w:p>
    <w:p>
      <w:pPr>
        <w:spacing w:after="160" w:line="276"/>
        <w:jc w:val="both"/>
      </w:pPr>
      <w:r>
        <w:rPr>
          <w:rFonts w:ascii="Times New Roman" w:cs="Times New Roman" w:eastAsia="Times New Roman" w:hAnsi="Times New Roman"/>
          <w:sz w:val="24"/>
          <w:szCs w:val="24"/>
        </w:rPr>
        <w:t xml:space="preserve">Lopez-Paz &amp; Ranzato (2017) introduced Gradient Episodic Memory (GEM), which stores a small episodic memory for each previous task and uses it to constrain gradient updates during new task training. The constraint is formally: find the modified gradient g_tilde that is as close as possible to the raw task-B gradient g (in L2 norm), subject to the constraint that the dot product of g_tilde with each old-task gradient g_k is non-negative — i.e., g_tilde does not oppose the gradient direction for any previous task.</w:t>
      </w:r>
    </w:p>
    <w:p>
      <w:pPr>
        <w:spacing w:after="160" w:line="276"/>
        <w:jc w:val="both"/>
      </w:pPr>
      <w:r>
        <w:rPr>
          <w:rFonts w:ascii="Times New Roman" w:cs="Times New Roman" w:eastAsia="Times New Roman" w:hAnsi="Times New Roman"/>
          <w:sz w:val="24"/>
          <w:szCs w:val="24"/>
        </w:rPr>
        <w:t xml:space="preserve">This quadratic programming problem ensures that every gradient step is "safe" in the sense that it does not increase the loss on any previously seen task. GEM demonstrated substantial improvements over fine-tuning and regularization baselines on MNIST and CIFAR-100 variants, while also enabling beneficial backward transfer — later tasks sometimes improved performance on earlier ones. The primary limitation of GEM is its computational cost: solving a quadratic program at each update step is expensive, motivating the development of A-GEM.</w:t>
      </w:r>
    </w:p>
    <w:p>
      <w:pPr>
        <w:pStyle w:val="Heading3"/>
        <w:spacing w:before="200" w:after="100"/>
      </w:pPr>
      <w:r>
        <w:rPr>
          <w:rFonts w:ascii="Times New Roman" w:cs="Times New Roman" w:eastAsia="Times New Roman" w:hAnsi="Times New Roman"/>
          <w:b/>
          <w:bCs/>
          <w:sz w:val="24"/>
          <w:szCs w:val="24"/>
        </w:rPr>
        <w:t xml:space="preserve">2.5.2 Averaged GEM (A-GEM)</w:t>
      </w:r>
    </w:p>
    <w:p>
      <w:pPr>
        <w:spacing w:after="160" w:line="276"/>
        <w:jc w:val="both"/>
      </w:pPr>
      <w:r>
        <w:rPr>
          <w:rFonts w:ascii="Times New Roman" w:cs="Times New Roman" w:eastAsia="Times New Roman" w:hAnsi="Times New Roman"/>
          <w:sz w:val="24"/>
          <w:szCs w:val="24"/>
        </w:rPr>
        <w:t xml:space="preserve">Chaudhry et al. (2019) proposed Averaged GEM (A-GEM), which simplifies GEM by replacing the per-task gradient constraints with a single constraint based on the averaged gradient computed from a random sample of the replay buffer. This reduces the quadratic program to a much simpler projection operation, making A-GEM nearly as computationally efficient as standard gradient descent while maintaining GEM-level performance on most benchmarks. A-GEM achieves one of the best accuracy-efficiency trade-offs among replay methods and is used as a baseline in the present study.</w:t>
      </w:r>
    </w:p>
    <w:p>
      <w:pPr>
        <w:pStyle w:val="Heading3"/>
        <w:spacing w:before="200" w:after="100"/>
      </w:pPr>
      <w:r>
        <w:rPr>
          <w:rFonts w:ascii="Times New Roman" w:cs="Times New Roman" w:eastAsia="Times New Roman" w:hAnsi="Times New Roman"/>
          <w:b/>
          <w:bCs/>
          <w:sz w:val="24"/>
          <w:szCs w:val="24"/>
        </w:rPr>
        <w:t xml:space="preserve">2.5.3 Dark Experience Replay (DER)</w:t>
      </w:r>
    </w:p>
    <w:p>
      <w:pPr>
        <w:spacing w:after="160" w:line="276"/>
        <w:jc w:val="both"/>
      </w:pPr>
      <w:r>
        <w:rPr>
          <w:rFonts w:ascii="Times New Roman" w:cs="Times New Roman" w:eastAsia="Times New Roman" w:hAnsi="Times New Roman"/>
          <w:sz w:val="24"/>
          <w:szCs w:val="24"/>
        </w:rPr>
        <w:t xml:space="preserve">Buzzega et al. (2020) introduced Dark Experience Replay (DER), which enriches the replay mechanism by storing not just input-label pairs but also the model's logit vectors (soft outputs) at the time of storage. The DER loss is: L_DER = L_CE(f_theta(x), y) + alpha * ||f_theta(x_mem) - z_mem||^2, where x_mem are replayed samples, z_mem are the stored logits, and the MSE term forces the model's current outputs on those samples to match the outputs at storage time.</w:t>
      </w:r>
    </w:p>
    <w:p>
      <w:pPr>
        <w:spacing w:after="160" w:line="276"/>
        <w:jc w:val="both"/>
      </w:pPr>
      <w:r>
        <w:rPr>
          <w:rFonts w:ascii="Times New Roman" w:cs="Times New Roman" w:eastAsia="Times New Roman" w:hAnsi="Times New Roman"/>
          <w:sz w:val="24"/>
          <w:szCs w:val="24"/>
        </w:rPr>
        <w:t xml:space="preserve">The "dark" in DER refers to this dark knowledge encoded in the logit vectors — information about the model's confidence and class relationships that is invisible in hard labels. A label says "cat"; a logit vector says "90% cat, 8% dog, 2% tiger," encoding the fact that cats are more similar to dogs than to tigers in the learned feature space. This richer signal provides stronger gradients for preserving old knowledge and helps the model maintain calibrated, well-structured representations. DER consistently outperforms methods that rely only on hard labels and is used as a primary hybrid method in this project.</w:t>
      </w:r>
    </w:p>
    <w:p>
      <w:pPr>
        <w:pStyle w:val="Heading3"/>
        <w:spacing w:before="200" w:after="100"/>
      </w:pPr>
      <w:r>
        <w:rPr>
          <w:rFonts w:ascii="Times New Roman" w:cs="Times New Roman" w:eastAsia="Times New Roman" w:hAnsi="Times New Roman"/>
          <w:b/>
          <w:bCs/>
          <w:sz w:val="24"/>
          <w:szCs w:val="24"/>
        </w:rPr>
        <w:t xml:space="preserve">2.5.4 Extended DER (X-DER)</w:t>
      </w:r>
    </w:p>
    <w:p>
      <w:pPr>
        <w:spacing w:after="160" w:line="276"/>
        <w:jc w:val="both"/>
      </w:pPr>
      <w:r>
        <w:rPr>
          <w:rFonts w:ascii="Times New Roman" w:cs="Times New Roman" w:eastAsia="Times New Roman" w:hAnsi="Times New Roman"/>
          <w:sz w:val="24"/>
          <w:szCs w:val="24"/>
        </w:rPr>
        <w:t xml:space="preserve">Boschini et al. (2022) extended DER to the Class-Incremental setting with X-DER, which adds two key capabilities. First, X-DER can revise the stored logits in the replay buffer when the model's classifier head expands to accommodate new classes — ensuring that old samples retain meaningful class probabilities even as the output space grows. Second, X-DER includes a mechanism to prepare the model for learning unseen future classes by reserving capacity in the output space. These additions are critical for Class-IL scenarios where the output space is not fixed, and X-DER achieves state-of-the-art results on CIFAR-100 and Mini-ImageNet.</w:t>
      </w:r>
    </w:p>
    <w:p>
      <w:pPr>
        <w:pStyle w:val="Heading3"/>
        <w:spacing w:before="200" w:after="100"/>
      </w:pPr>
      <w:r>
        <w:rPr>
          <w:rFonts w:ascii="Times New Roman" w:cs="Times New Roman" w:eastAsia="Times New Roman" w:hAnsi="Times New Roman"/>
          <w:b/>
          <w:bCs/>
          <w:sz w:val="24"/>
          <w:szCs w:val="24"/>
        </w:rPr>
        <w:t xml:space="preserve">2.5.5 ER-Reservoir</w:t>
      </w:r>
    </w:p>
    <w:p>
      <w:pPr>
        <w:spacing w:after="160" w:line="276"/>
        <w:jc w:val="both"/>
      </w:pPr>
      <w:r>
        <w:rPr>
          <w:rFonts w:ascii="Times New Roman" w:cs="Times New Roman" w:eastAsia="Times New Roman" w:hAnsi="Times New Roman"/>
          <w:sz w:val="24"/>
          <w:szCs w:val="24"/>
        </w:rPr>
        <w:t xml:space="preserve">Chaudhry et al. (2019, "On Tiny Episodic Memories") studied the simplest form of experience replay: random reservoir sampling, which maintains a fixed-size buffer by replacing old samples uniformly at random. Despite its simplicity, ER-Reservoir proves to be a surprisingly competitive baseline, often matching or exceeding more sophisticated methods when the buffer size is sufficiently large. Its inclusion as a method in this project provides an important reference point: how much does algorithmic complexity actually add over simple random replay?</w:t>
      </w:r>
    </w:p>
    <w:p>
      <w:pPr>
        <w:pStyle w:val="Heading2"/>
        <w:spacing w:before="240" w:after="120"/>
      </w:pPr>
      <w:r>
        <w:rPr>
          <w:rFonts w:ascii="Times New Roman" w:cs="Times New Roman" w:eastAsia="Times New Roman" w:hAnsi="Times New Roman"/>
          <w:b/>
          <w:bCs/>
          <w:i w:val="false"/>
          <w:iCs w:val="false"/>
          <w:sz w:val="26"/>
          <w:szCs w:val="26"/>
        </w:rPr>
        <w:t xml:space="preserve">2.6 Architecture-Based Methods</w:t>
      </w:r>
    </w:p>
    <w:p>
      <w:pPr>
        <w:spacing w:after="160" w:line="276"/>
        <w:jc w:val="both"/>
      </w:pPr>
      <w:r>
        <w:rPr>
          <w:rFonts w:ascii="Times New Roman" w:cs="Times New Roman" w:eastAsia="Times New Roman" w:hAnsi="Times New Roman"/>
          <w:sz w:val="24"/>
          <w:szCs w:val="24"/>
        </w:rPr>
        <w:t xml:space="preserve">Architecture-based methods avoid forgetting by modifying the network's structure so that different tasks are handled by different (possibly overlapping) subsets of parameters. By isolating task-specific computation, these methods can theoretically guarantee zero forgetting, at the cost of increased model size or architectural complexity.</w:t>
      </w:r>
    </w:p>
    <w:p>
      <w:pPr>
        <w:pStyle w:val="Heading3"/>
        <w:spacing w:before="200" w:after="100"/>
      </w:pPr>
      <w:r>
        <w:rPr>
          <w:rFonts w:ascii="Times New Roman" w:cs="Times New Roman" w:eastAsia="Times New Roman" w:hAnsi="Times New Roman"/>
          <w:b/>
          <w:bCs/>
          <w:sz w:val="24"/>
          <w:szCs w:val="24"/>
        </w:rPr>
        <w:t xml:space="preserve">2.6.1 Progressive Neural Networks</w:t>
      </w:r>
    </w:p>
    <w:p>
      <w:pPr>
        <w:spacing w:after="160" w:line="276"/>
        <w:jc w:val="both"/>
      </w:pPr>
      <w:r>
        <w:rPr>
          <w:rFonts w:ascii="Times New Roman" w:cs="Times New Roman" w:eastAsia="Times New Roman" w:hAnsi="Times New Roman"/>
          <w:sz w:val="24"/>
          <w:szCs w:val="24"/>
        </w:rPr>
        <w:t xml:space="preserve">Rusu et al. (2016) introduced Progressive Neural Networks (PNNs), which add a new "column" (a full copy of the base network) for each new task, while freezing all previous columns. Lateral connections between columns allow the new task to read from previously learned representations, enabling forward transfer. The activation at layer i for task k is: h_i^(k) = f(W_i^(k) h_{i-1}^(k) + sum_{j&lt;k} U_i^(k:j) h_{i-1}^(j)), where the first term is the standard feedforward computation in the new column and the second term imports information from all previous columns via learned lateral weight matrices U.</w:t>
      </w:r>
    </w:p>
    <w:p>
      <w:pPr>
        <w:spacing w:after="160" w:line="276"/>
        <w:jc w:val="both"/>
      </w:pPr>
      <w:r>
        <w:rPr>
          <w:rFonts w:ascii="Times New Roman" w:cs="Times New Roman" w:eastAsia="Times New Roman" w:hAnsi="Times New Roman"/>
          <w:sz w:val="24"/>
          <w:szCs w:val="24"/>
        </w:rPr>
        <w:t xml:space="preserve">PNNs achieve zero catastrophic forgetting by design — old columns are completely frozen — and they demonstrate strong forward transfer on Atari games and maze navigation. However, their critical limitation is that model size grows linearly with the number of tasks: after 100 tasks, the model is 100 times the size of the base network. This makes PNNs impractical for long task sequences, motivating approaches that manage capacity more efficiently.</w:t>
      </w:r>
    </w:p>
    <w:p>
      <w:pPr>
        <w:pStyle w:val="Heading3"/>
        <w:spacing w:before="200" w:after="100"/>
      </w:pPr>
      <w:r>
        <w:rPr>
          <w:rFonts w:ascii="Times New Roman" w:cs="Times New Roman" w:eastAsia="Times New Roman" w:hAnsi="Times New Roman"/>
          <w:b/>
          <w:bCs/>
          <w:sz w:val="24"/>
          <w:szCs w:val="24"/>
        </w:rPr>
        <w:t xml:space="preserve">2.6.2 PackNet</w:t>
      </w:r>
    </w:p>
    <w:p>
      <w:pPr>
        <w:spacing w:after="160" w:line="276"/>
        <w:jc w:val="both"/>
      </w:pPr>
      <w:r>
        <w:rPr>
          <w:rFonts w:ascii="Times New Roman" w:cs="Times New Roman" w:eastAsia="Times New Roman" w:hAnsi="Times New Roman"/>
          <w:sz w:val="24"/>
          <w:szCs w:val="24"/>
        </w:rPr>
        <w:t xml:space="preserve">Mallya &amp; Lazebnik (2018) proposed PackNet, which repurposes existing network capacity rather than adding new parameters. After learning each task, PackNet prunes the weights that are least important for that task and "freezes" the remaining weights (which encode the task's knowledge). The freed capacity — the pruned weights — is then available for learning future tasks. The pruning-freeze-retrain cycle repeats for each new task, compressing all task knowledge into a single fixed-size network.</w:t>
      </w:r>
    </w:p>
    <w:p>
      <w:pPr>
        <w:spacing w:after="160" w:line="276"/>
        <w:jc w:val="both"/>
      </w:pPr>
      <w:r>
        <w:rPr>
          <w:rFonts w:ascii="Times New Roman" w:cs="Times New Roman" w:eastAsia="Times New Roman" w:hAnsi="Times New Roman"/>
          <w:sz w:val="24"/>
          <w:szCs w:val="24"/>
        </w:rPr>
        <w:t xml:space="preserve">PackNet eliminates forgetting by construction (frozen weights cannot change) and is highly parameter-efficient compared to Progressive Networks. However, the capacity available for each new task decreases over time, and the pruning decisions made for early tasks constrain the expressiveness available for later ones. PackNet works well for small numbers of tasks but degrades as the task sequence grows longer.</w:t>
      </w:r>
    </w:p>
    <w:p>
      <w:pPr>
        <w:pStyle w:val="Heading2"/>
        <w:spacing w:before="240" w:after="120"/>
      </w:pPr>
      <w:r>
        <w:rPr>
          <w:rFonts w:ascii="Times New Roman" w:cs="Times New Roman" w:eastAsia="Times New Roman" w:hAnsi="Times New Roman"/>
          <w:b/>
          <w:bCs/>
          <w:i w:val="false"/>
          <w:iCs w:val="false"/>
          <w:sz w:val="26"/>
          <w:szCs w:val="26"/>
        </w:rPr>
        <w:t xml:space="preserve">2.7 Hybrid Methods: Combining Strategies for Superior Performance</w:t>
      </w:r>
    </w:p>
    <w:p>
      <w:pPr>
        <w:spacing w:after="160" w:line="276"/>
        <w:jc w:val="both"/>
      </w:pPr>
      <w:r>
        <w:rPr>
          <w:rFonts w:ascii="Times New Roman" w:cs="Times New Roman" w:eastAsia="Times New Roman" w:hAnsi="Times New Roman"/>
          <w:sz w:val="24"/>
          <w:szCs w:val="24"/>
        </w:rPr>
        <w:t xml:space="preserve">The consensus emerging from the continual learning literature is that no single-strategy approach is universally optimal. Regularization methods are computationally efficient but cannot fully protect complex task knowledge. Replay methods are powerful but require memory storage. Architecture methods guarantee zero forgetting but at the cost of growing model size or reduced expressiveness. The natural next step — and the central focus of this project — is hybrid methods that combine multiple strategies to achieve a better trade-off across all dimensions.</w:t>
      </w:r>
    </w:p>
    <w:p>
      <w:pPr>
        <w:pStyle w:val="Heading3"/>
        <w:spacing w:before="200" w:after="100"/>
      </w:pPr>
      <w:r>
        <w:rPr>
          <w:rFonts w:ascii="Times New Roman" w:cs="Times New Roman" w:eastAsia="Times New Roman" w:hAnsi="Times New Roman"/>
          <w:b/>
          <w:bCs/>
          <w:sz w:val="24"/>
          <w:szCs w:val="24"/>
        </w:rPr>
        <w:t xml:space="preserve">2.7.1 iCaRL: Incremental Classifier and Representation Learning</w:t>
      </w:r>
    </w:p>
    <w:p>
      <w:pPr>
        <w:spacing w:after="160" w:line="276"/>
        <w:jc w:val="both"/>
      </w:pPr>
      <w:r>
        <w:rPr>
          <w:rFonts w:ascii="Times New Roman" w:cs="Times New Roman" w:eastAsia="Times New Roman" w:hAnsi="Times New Roman"/>
          <w:sz w:val="24"/>
          <w:szCs w:val="24"/>
        </w:rPr>
        <w:t xml:space="preserve">Rebuffi et al. (2017) introduced iCaRL, one of the most carefully engineered hybrid methods for Class-Incremental Learning. iCaRL combines three components: (1) experience replay using a herding-based exemplar selection strategy, which stores the samples closest to each class's mean embedding rather than random samples; (2) knowledge distillation to preserve old task outputs on new data (following LwF); and (3) a nearest-mean-of-exemplars classifier, which classifies new inputs by comparing their embeddings to the mean embeddings of stored exemplars, providing a non-parametric decision boundary that adapts gracefully as new classes arrive.</w:t>
      </w:r>
    </w:p>
    <w:p>
      <w:pPr>
        <w:spacing w:after="160" w:line="276"/>
        <w:jc w:val="both"/>
      </w:pPr>
      <w:r>
        <w:rPr>
          <w:rFonts w:ascii="Times New Roman" w:cs="Times New Roman" w:eastAsia="Times New Roman" w:hAnsi="Times New Roman"/>
          <w:sz w:val="24"/>
          <w:szCs w:val="24"/>
        </w:rPr>
        <w:t xml:space="preserve">The herding selection strategy makes iCaRL particularly sample-efficient: by choosing exemplars that best represent the class distribution in feature space, it extracts more information per stored sample than random selection. iCaRL was one of the first methods to demonstrate competitive Class-IL performance and remains a strong baseline. Its combination of replay, distillation, and prototype-based classification has influenced the design of numerous subsequent methods.</w:t>
      </w:r>
    </w:p>
    <w:p>
      <w:pPr>
        <w:pStyle w:val="Heading3"/>
        <w:spacing w:before="200" w:after="100"/>
      </w:pPr>
      <w:r>
        <w:rPr>
          <w:rFonts w:ascii="Times New Roman" w:cs="Times New Roman" w:eastAsia="Times New Roman" w:hAnsi="Times New Roman"/>
          <w:b/>
          <w:bCs/>
          <w:sz w:val="24"/>
          <w:szCs w:val="24"/>
        </w:rPr>
        <w:t xml:space="preserve">2.7.2 Progress &amp; Compress</w:t>
      </w:r>
    </w:p>
    <w:p>
      <w:pPr>
        <w:spacing w:after="160" w:line="276"/>
        <w:jc w:val="both"/>
      </w:pPr>
      <w:r>
        <w:rPr>
          <w:rFonts w:ascii="Times New Roman" w:cs="Times New Roman" w:eastAsia="Times New Roman" w:hAnsi="Times New Roman"/>
          <w:sz w:val="24"/>
          <w:szCs w:val="24"/>
        </w:rPr>
        <w:t xml:space="preserve">Schwarz et al. (2018) proposed Progress &amp; Compress, which elegantly combines architecture-based protection with EWC regularization. The framework maintains two networks: an "active" column that is trained freely on the new task (the Progress phase), and a "knowledge base" that stores compressed knowledge from all previous tasks via EWC (the Compress phase). After learning each new task in the active column, the knowledge is distilled from the active column into the knowledge base using a combination of policy distillation and EWC consolidation.</w:t>
      </w:r>
    </w:p>
    <w:p>
      <w:pPr>
        <w:spacing w:after="160" w:line="276"/>
        <w:jc w:val="both"/>
      </w:pPr>
      <w:r>
        <w:rPr>
          <w:rFonts w:ascii="Times New Roman" w:cs="Times New Roman" w:eastAsia="Times New Roman" w:hAnsi="Times New Roman"/>
          <w:sz w:val="24"/>
          <w:szCs w:val="24"/>
        </w:rPr>
        <w:t xml:space="preserve">Progress &amp; Compress achieves better performance than EWC alone because the active column can learn the new task without any regularization constraints, avoiding the stability-plasticity conflict during training. The consolidation step then uses EWC to merge the new knowledge into the knowledge base in a way that minimizes interference with old task knowledge. This approach has influenced later hybrid designs that decouple the learning and consolidation phases.</w:t>
      </w:r>
    </w:p>
    <w:p>
      <w:pPr>
        <w:pStyle w:val="Heading3"/>
        <w:spacing w:before="200" w:after="100"/>
      </w:pPr>
      <w:r>
        <w:rPr>
          <w:rFonts w:ascii="Times New Roman" w:cs="Times New Roman" w:eastAsia="Times New Roman" w:hAnsi="Times New Roman"/>
          <w:b/>
          <w:bCs/>
          <w:sz w:val="24"/>
          <w:szCs w:val="24"/>
        </w:rPr>
        <w:t xml:space="preserve">2.7.3 The De Lange et al. Survey (2021)</w:t>
      </w:r>
    </w:p>
    <w:p>
      <w:pPr>
        <w:spacing w:after="160" w:line="276"/>
        <w:jc w:val="both"/>
      </w:pPr>
      <w:r>
        <w:rPr>
          <w:rFonts w:ascii="Times New Roman" w:cs="Times New Roman" w:eastAsia="Times New Roman" w:hAnsi="Times New Roman"/>
          <w:sz w:val="24"/>
          <w:szCs w:val="24"/>
        </w:rPr>
        <w:t xml:space="preserve">De Lange et al. (2021) published the most comprehensive survey of continual learning methods to date, evaluating 11 methods across multiple benchmarks. Their central finding was that hybrid methods combining regularization with replay consistently outperform single-strategy approaches, and that the performance gap widens as task sequences grow longer. The survey also identified several important methodological gaps: the lack of standardized evaluation protocols, inconsistent dataset choices, and the near-complete absence of systematic comparisons of hybrid combinations under controlled conditions. This last gap directly motivates the comparative study presented in this report.</w:t>
      </w:r>
    </w:p>
    <w:p>
      <w:pPr>
        <w:pStyle w:val="Heading3"/>
        <w:spacing w:before="200" w:after="100"/>
      </w:pPr>
      <w:r>
        <w:rPr>
          <w:rFonts w:ascii="Times New Roman" w:cs="Times New Roman" w:eastAsia="Times New Roman" w:hAnsi="Times New Roman"/>
          <w:b/>
          <w:bCs/>
          <w:sz w:val="24"/>
          <w:szCs w:val="24"/>
        </w:rPr>
        <w:t xml:space="preserve">2.7.4 Knowledge Distillation as a Universal Tool</w:t>
      </w:r>
    </w:p>
    <w:p>
      <w:pPr>
        <w:spacing w:after="160" w:line="276"/>
        <w:jc w:val="both"/>
      </w:pPr>
      <w:r>
        <w:rPr>
          <w:rFonts w:ascii="Times New Roman" w:cs="Times New Roman" w:eastAsia="Times New Roman" w:hAnsi="Times New Roman"/>
          <w:sz w:val="24"/>
          <w:szCs w:val="24"/>
        </w:rPr>
        <w:t xml:space="preserve">Hinton, Vinyals &amp; Dean (2015) introduced knowledge distillation in the context of model compression, but it has since become a cornerstone technique for continual learning. The distillation loss is: L_KD = T^2 * KL(sigma(z_s/T) || sigma(z_t/T)), where z_s and z_t are the student and teacher logit vectors, T is the temperature parameter, and sigma denotes the softmax function. The temperature T softens the probability distributions: at high T, all classes receive non-negligible probabilities, revealing the teacher's "dark knowledge" about class relationships.</w:t>
      </w:r>
    </w:p>
    <w:p>
      <w:pPr>
        <w:spacing w:after="160" w:line="276"/>
        <w:jc w:val="both"/>
      </w:pPr>
      <w:r>
        <w:rPr>
          <w:rFonts w:ascii="Times New Roman" w:cs="Times New Roman" w:eastAsia="Times New Roman" w:hAnsi="Times New Roman"/>
          <w:sz w:val="24"/>
          <w:szCs w:val="24"/>
        </w:rPr>
        <w:t xml:space="preserve">In the continual learning context, the teacher is the model before learning a new task, and the student is the model after learning it. The distillation loss forces the student to mimic the teacher's outputs, preserving the relational structure of the learned embedding space. This is more informative than simply storing hard labels because it captures not just "this is a cat" but also "this image looks slightly like a dog but strongly like a cat," preserving the full geometry of the feature space. Knowledge distillation is a component in LwF, DER, X-DER, iCaRL, and Progress &amp; Compress — making it one of the most widely applicable tools in the hybrid continual learning toolkit.</w:t>
      </w:r>
    </w:p>
    <w:p>
      <w:pPr>
        <w:pStyle w:val="Heading3"/>
        <w:spacing w:before="200" w:after="100"/>
      </w:pPr>
      <w:r>
        <w:rPr>
          <w:rFonts w:ascii="Times New Roman" w:cs="Times New Roman" w:eastAsia="Times New Roman" w:hAnsi="Times New Roman"/>
          <w:b/>
          <w:bCs/>
          <w:sz w:val="24"/>
          <w:szCs w:val="24"/>
        </w:rPr>
        <w:t xml:space="preserve">2.7.5 Simple Lifelong Learning Machines</w:t>
      </w:r>
    </w:p>
    <w:p>
      <w:pPr>
        <w:spacing w:after="160" w:line="276"/>
        <w:jc w:val="both"/>
      </w:pPr>
      <w:r>
        <w:rPr>
          <w:rFonts w:ascii="Times New Roman" w:cs="Times New Roman" w:eastAsia="Times New Roman" w:hAnsi="Times New Roman"/>
          <w:sz w:val="24"/>
          <w:szCs w:val="24"/>
        </w:rPr>
        <w:t xml:space="preserve">Dey et al. (2020) proposed representation ensembling as a simple yet effective lifelong learning approach. Rather than using complex architectural modifications, their method combines predictions from multiple learned representations, allowing the ensemble to preserve knowledge from previous tasks while the individual components adapt to new ones. This work is notable for demonstrating both forward and backward transfer on diverse benchmarks including CIFAR-100 and Split Mini-ImageNet, suggesting that ensemble-based approaches may complement the replay and regularization strategies studied in this project.</w:t>
      </w:r>
    </w:p>
    <w:p>
      <w:pPr>
        <w:pStyle w:val="Heading3"/>
        <w:spacing w:before="200" w:after="100"/>
      </w:pPr>
      <w:r>
        <w:rPr>
          <w:rFonts w:ascii="Times New Roman" w:cs="Times New Roman" w:eastAsia="Times New Roman" w:hAnsi="Times New Roman"/>
          <w:b/>
          <w:bCs/>
          <w:sz w:val="24"/>
          <w:szCs w:val="24"/>
        </w:rPr>
        <w:t xml:space="preserve">2.7.6 Continual Learning in Large Language Models</w:t>
      </w:r>
    </w:p>
    <w:p>
      <w:pPr>
        <w:spacing w:after="160" w:line="276"/>
        <w:jc w:val="both"/>
      </w:pPr>
      <w:r>
        <w:rPr>
          <w:rFonts w:ascii="Times New Roman" w:cs="Times New Roman" w:eastAsia="Times New Roman" w:hAnsi="Times New Roman"/>
          <w:sz w:val="24"/>
          <w:szCs w:val="24"/>
        </w:rPr>
        <w:t xml:space="preserve">Scialom et al. (2022) studied continual learning in instruction-tuned large language models (Continual-T0), showing that even at scale, catastrophic forgetting remains a significant concern. Their work demonstrated that models fine-tuned sequentially on 70 diverse datasets suffer substantial performance degradation on earlier tasks, and that self-supervised pretraining provides only partial protection. This finding is highly relevant to the present project's use of ViT-Small as a backbone: Transformer-based backbones, despite their larger capacity, are not immune to forgetting and require explicit continual learning strategies.</w:t>
      </w:r>
    </w:p>
    <w:p>
      <w:pPr>
        <w:pStyle w:val="Heading2"/>
        <w:spacing w:before="240" w:after="120"/>
      </w:pPr>
      <w:r>
        <w:rPr>
          <w:rFonts w:ascii="Times New Roman" w:cs="Times New Roman" w:eastAsia="Times New Roman" w:hAnsi="Times New Roman"/>
          <w:b/>
          <w:bCs/>
          <w:i w:val="false"/>
          <w:iCs w:val="false"/>
          <w:sz w:val="26"/>
          <w:szCs w:val="26"/>
        </w:rPr>
        <w:t xml:space="preserve">2.8 Gap Analysis and Motivation</w:t>
      </w:r>
    </w:p>
    <w:p>
      <w:pPr>
        <w:spacing w:after="160" w:line="276"/>
        <w:jc w:val="both"/>
      </w:pPr>
      <w:r>
        <w:rPr>
          <w:rFonts w:ascii="Times New Roman" w:cs="Times New Roman" w:eastAsia="Times New Roman" w:hAnsi="Times New Roman"/>
          <w:sz w:val="24"/>
          <w:szCs w:val="24"/>
        </w:rPr>
        <w:t xml:space="preserve">Despite the substantial progress surveyed above, three critical gaps remain in the continual learning literature. First, while individual hybrid methods have been proposed and evaluated, no study has systematically compared multiple hybrid combinations under identical, controlled conditions using the same backbone architectures, datasets, preprocessing pipelines, and evaluation protocols. Reported results across papers are rarely directly comparable due to these confounds.</w:t>
      </w:r>
    </w:p>
    <w:p>
      <w:pPr>
        <w:spacing w:after="160" w:line="276"/>
        <w:jc w:val="both"/>
      </w:pPr>
      <w:r>
        <w:rPr>
          <w:rFonts w:ascii="Times New Roman" w:cs="Times New Roman" w:eastAsia="Times New Roman" w:hAnsi="Times New Roman"/>
          <w:sz w:val="24"/>
          <w:szCs w:val="24"/>
        </w:rPr>
        <w:t xml:space="preserve">Second, the field lacks a quantitative framework for selecting the appropriate continual learning method based on practical resource constraints. A practitioner deploying a CL system must choose between methods that differ in memory requirements, computational cost, and performance characteristics — but no principled decision tool exists to guide this choice. Third, the interaction effects between different hybrid components (e.g., does adding EWC to a replay method help more or less than adding distillation?) have not been systematically studied through ablation experiments.</w:t>
      </w:r>
    </w:p>
    <w:p>
      <w:pPr>
        <w:spacing w:after="160" w:line="276"/>
        <w:jc w:val="both"/>
      </w:pPr>
      <w:r>
        <w:rPr>
          <w:rFonts w:ascii="Times New Roman" w:cs="Times New Roman" w:eastAsia="Times New Roman" w:hAnsi="Times New Roman"/>
          <w:sz w:val="24"/>
          <w:szCs w:val="24"/>
        </w:rPr>
        <w:t xml:space="preserve">The present project directly addresses all three gaps through a rigorous comparative experimental study, comprehensive ablation analysis, and the development of a data-driven Decision Support Framework. The following sections describe the project's novel contributions in detail.</w:t>
      </w:r>
    </w:p>
    <w:p>
      <w:r>
        <w:br w:type="page"/>
      </w:r>
    </w:p>
    <w:p>
      <w:pPr>
        <w:pStyle w:val="Heading1"/>
        <w:spacing w:before="320" w:after="160"/>
      </w:pPr>
      <w:r>
        <w:rPr>
          <w:rFonts w:ascii="Times New Roman" w:cs="Times New Roman" w:eastAsia="Times New Roman" w:hAnsi="Times New Roman"/>
          <w:b/>
          <w:bCs/>
          <w:sz w:val="28"/>
          <w:szCs w:val="28"/>
        </w:rPr>
        <w:t xml:space="preserve">3. Novelty and Contributions of This Project</w:t>
      </w:r>
    </w:p>
    <w:p>
      <w:pPr>
        <w:spacing w:after="160" w:line="276"/>
        <w:jc w:val="both"/>
      </w:pPr>
      <w:r>
        <w:rPr>
          <w:rFonts w:ascii="Times New Roman" w:cs="Times New Roman" w:eastAsia="Times New Roman" w:hAnsi="Times New Roman"/>
          <w:sz w:val="24"/>
          <w:szCs w:val="24"/>
        </w:rPr>
        <w:t xml:space="preserve">While the literature survey above covers methods that have been individually proposed and studied, the present project's novelty lies in the systematic, controlled, and resource-aware comparison of these methods, combined with the development of a practical Decision Support Framework. This section enumerates the specific contributions that distinguish this work from existing research.</w:t>
      </w:r>
    </w:p>
    <w:p>
      <w:pPr>
        <w:pStyle w:val="Heading2"/>
        <w:spacing w:before="240" w:after="120"/>
      </w:pPr>
      <w:r>
        <w:rPr>
          <w:rFonts w:ascii="Times New Roman" w:cs="Times New Roman" w:eastAsia="Times New Roman" w:hAnsi="Times New Roman"/>
          <w:b/>
          <w:bCs/>
          <w:i w:val="false"/>
          <w:iCs w:val="false"/>
          <w:sz w:val="26"/>
          <w:szCs w:val="26"/>
        </w:rPr>
        <w:t xml:space="preserve">3.1 Scope of Comparison</w:t>
      </w:r>
    </w:p>
    <w:p>
      <w:pPr>
        <w:spacing w:after="160" w:line="276"/>
        <w:jc w:val="both"/>
      </w:pPr>
      <w:r>
        <w:rPr>
          <w:rFonts w:ascii="Times New Roman" w:cs="Times New Roman" w:eastAsia="Times New Roman" w:hAnsi="Times New Roman"/>
          <w:sz w:val="24"/>
          <w:szCs w:val="24"/>
        </w:rPr>
        <w:t xml:space="preserve">Existing studies typically compare two or three methods on one or two datasets using a single backbone. This project evaluates five baseline methods (FineTune, Joint Training, EWC, A-GEM, LwF) and seven hybrid methods (DER, X-DER, iCaRL, ER+EWC, Progress &amp; Compress, A-GEM+Distill, SI+DER) across four datasets (Permuted MNIST, Split CIFAR-10, Split CIFAR-100, and the Colab-scale datasets Split Mini-ImageNet and Sequential Tiny-ImageNet), using two backbone architectures (Slim ResNet-18 and ViT-Small). This is, to the best of the authors' knowledge, the most comprehensive controlled comparison of hybrid CL methods conducted within a single unified framework.</w:t>
      </w:r>
    </w:p>
    <w:p>
      <w:pPr>
        <w:pStyle w:val="Heading2"/>
        <w:spacing w:before="240" w:after="120"/>
      </w:pPr>
      <w:r>
        <w:rPr>
          <w:rFonts w:ascii="Times New Roman" w:cs="Times New Roman" w:eastAsia="Times New Roman" w:hAnsi="Times New Roman"/>
          <w:b/>
          <w:bCs/>
          <w:i w:val="false"/>
          <w:iCs w:val="false"/>
          <w:sz w:val="26"/>
          <w:szCs w:val="26"/>
        </w:rPr>
        <w:t xml:space="preserve">3.2 Novel Hybrid Combinations</w:t>
      </w:r>
    </w:p>
    <w:p>
      <w:pPr>
        <w:spacing w:after="160" w:line="276"/>
        <w:jc w:val="both"/>
      </w:pPr>
      <w:r>
        <w:rPr>
          <w:rFonts w:ascii="Times New Roman" w:cs="Times New Roman" w:eastAsia="Times New Roman" w:hAnsi="Times New Roman"/>
          <w:sz w:val="24"/>
          <w:szCs w:val="24"/>
        </w:rPr>
        <w:t xml:space="preserve">Beyond re-implementing known methods, this project introduces and evaluates novel hybrid combinations not systematically studied in prior work:</w:t>
      </w:r>
    </w:p>
    <w:p>
      <w:pPr>
        <w:pStyle w:val="ListParagraph"/>
        <w:numPr>
          <w:ilvl w:val="0"/>
          <w:numId w:val="2"/>
        </w:numPr>
        <w:spacing w:after="80"/>
        <w:jc w:val="both"/>
      </w:pPr>
      <w:r>
        <w:rPr>
          <w:rFonts w:ascii="Times New Roman" w:cs="Times New Roman" w:eastAsia="Times New Roman" w:hAnsi="Times New Roman"/>
          <w:sz w:val="24"/>
          <w:szCs w:val="24"/>
        </w:rPr>
        <w:t xml:space="preserve">ER+EWC: Combines reservoir-based experience replay with Elastic Weight Consolidation. The replay buffer addresses the distribution shift problem, while EWC provides additional regularization on top. Their interaction — whether they are synergistic or redundant — has not been characterized in the literature.</w:t>
      </w:r>
    </w:p>
    <w:p>
      <w:pPr>
        <w:pStyle w:val="ListParagraph"/>
        <w:numPr>
          <w:ilvl w:val="0"/>
          <w:numId w:val="2"/>
        </w:numPr>
        <w:spacing w:after="80"/>
        <w:jc w:val="both"/>
      </w:pPr>
      <w:r>
        <w:rPr>
          <w:rFonts w:ascii="Times New Roman" w:cs="Times New Roman" w:eastAsia="Times New Roman" w:hAnsi="Times New Roman"/>
          <w:sz w:val="24"/>
          <w:szCs w:val="24"/>
        </w:rPr>
        <w:t xml:space="preserve">A-GEM+Distill: Augments the computationally efficient A-GEM gradient projection with a knowledge distillation term, hypothesizing that the constraint-based forgetting prevention of A-GEM will benefit from the representational alignment provided by distillation.</w:t>
      </w:r>
    </w:p>
    <w:p>
      <w:pPr>
        <w:pStyle w:val="ListParagraph"/>
        <w:numPr>
          <w:ilvl w:val="0"/>
          <w:numId w:val="2"/>
        </w:numPr>
        <w:spacing w:after="80"/>
        <w:jc w:val="both"/>
      </w:pPr>
      <w:r>
        <w:rPr>
          <w:rFonts w:ascii="Times New Roman" w:cs="Times New Roman" w:eastAsia="Times New Roman" w:hAnsi="Times New Roman"/>
          <w:sz w:val="24"/>
          <w:szCs w:val="24"/>
        </w:rPr>
        <w:t xml:space="preserve">SI+DER: Combines Synaptic Intelligence's online importance tracking with DER's logit-preserving replay, creating a method that protects weights both through soft constraints (SI) and through direct experience matching (DER).</w:t>
      </w:r>
    </w:p>
    <w:p>
      <w:pPr>
        <w:pStyle w:val="Heading2"/>
        <w:spacing w:before="240" w:after="120"/>
      </w:pPr>
      <w:r>
        <w:rPr>
          <w:rFonts w:ascii="Times New Roman" w:cs="Times New Roman" w:eastAsia="Times New Roman" w:hAnsi="Times New Roman"/>
          <w:b/>
          <w:bCs/>
          <w:i w:val="false"/>
          <w:iCs w:val="false"/>
          <w:sz w:val="26"/>
          <w:szCs w:val="26"/>
        </w:rPr>
        <w:t xml:space="preserve">3.3 Dual Backbone Evaluation</w:t>
      </w:r>
    </w:p>
    <w:p>
      <w:pPr>
        <w:spacing w:after="160" w:line="276"/>
        <w:jc w:val="both"/>
      </w:pPr>
      <w:r>
        <w:rPr>
          <w:rFonts w:ascii="Times New Roman" w:cs="Times New Roman" w:eastAsia="Times New Roman" w:hAnsi="Times New Roman"/>
          <w:sz w:val="24"/>
          <w:szCs w:val="24"/>
        </w:rPr>
        <w:t xml:space="preserve">The vast majority of continual learning papers use convolutional networks (typically ResNet variants) as their sole backbone. This project evaluates all methods on both Slim ResNet-18 (a convolutional architecture) and ViT-Small (a Vision Transformer), enabling a principled study of whether method rankings and performance characteristics are architecture-dependent. Given the growing prominence of Transformers in computer vision, understanding how CL methods interact with attention-based backbones is a significant open question.</w:t>
      </w:r>
    </w:p>
    <w:p>
      <w:pPr>
        <w:pStyle w:val="Heading2"/>
        <w:spacing w:before="240" w:after="120"/>
      </w:pPr>
      <w:r>
        <w:rPr>
          <w:rFonts w:ascii="Times New Roman" w:cs="Times New Roman" w:eastAsia="Times New Roman" w:hAnsi="Times New Roman"/>
          <w:b/>
          <w:bCs/>
          <w:i w:val="false"/>
          <w:iCs w:val="false"/>
          <w:sz w:val="26"/>
          <w:szCs w:val="26"/>
        </w:rPr>
        <w:t xml:space="preserve">3.4 Statistical Rigor</w:t>
      </w:r>
    </w:p>
    <w:p>
      <w:pPr>
        <w:spacing w:after="160" w:line="276"/>
        <w:jc w:val="both"/>
      </w:pPr>
      <w:r>
        <w:rPr>
          <w:rFonts w:ascii="Times New Roman" w:cs="Times New Roman" w:eastAsia="Times New Roman" w:hAnsi="Times New Roman"/>
          <w:sz w:val="24"/>
          <w:szCs w:val="24"/>
        </w:rPr>
        <w:t xml:space="preserve">All experiments are run with 5 different random seeds per configuration, enabling paired t-tests for statistical significance, Bonferroni correction for multiple comparison control, and effect size analysis (Cohen's d). This level of statistical rigor is rare in the continual learning literature, where single-seed results are common. The project provides confidence intervals for all reported metrics, making the results reproducible and statistically interpretable.</w:t>
      </w:r>
    </w:p>
    <w:p>
      <w:pPr>
        <w:pStyle w:val="Heading2"/>
        <w:spacing w:before="240" w:after="120"/>
      </w:pPr>
      <w:r>
        <w:rPr>
          <w:rFonts w:ascii="Times New Roman" w:cs="Times New Roman" w:eastAsia="Times New Roman" w:hAnsi="Times New Roman"/>
          <w:b/>
          <w:bCs/>
          <w:i w:val="false"/>
          <w:iCs w:val="false"/>
          <w:sz w:val="26"/>
          <w:szCs w:val="26"/>
        </w:rPr>
        <w:t xml:space="preserve">3.5 Ablation Studies</w:t>
      </w:r>
    </w:p>
    <w:p>
      <w:pPr>
        <w:spacing w:after="160" w:line="276"/>
        <w:jc w:val="both"/>
      </w:pPr>
      <w:r>
        <w:rPr>
          <w:rFonts w:ascii="Times New Roman" w:cs="Times New Roman" w:eastAsia="Times New Roman" w:hAnsi="Times New Roman"/>
          <w:sz w:val="24"/>
          <w:szCs w:val="24"/>
        </w:rPr>
        <w:t xml:space="preserve">The project includes systematic ablation studies that examine the sensitivity of each method to buffer size (100, 200, 500 samples) and regularization strength (lambda in {1, 10, 100, 1000}). These ablations quantify the marginal contribution of each component in hybrid methods, providing insights into which combinations are synergistic and which are redundant. Such component-level analysis has not been performed for the novel hybrids studied in this project.</w:t>
      </w:r>
    </w:p>
    <w:p>
      <w:pPr>
        <w:pStyle w:val="Heading2"/>
        <w:spacing w:before="240" w:after="120"/>
      </w:pPr>
      <w:r>
        <w:rPr>
          <w:rFonts w:ascii="Times New Roman" w:cs="Times New Roman" w:eastAsia="Times New Roman" w:hAnsi="Times New Roman"/>
          <w:b/>
          <w:bCs/>
          <w:i w:val="false"/>
          <w:iCs w:val="false"/>
          <w:sz w:val="26"/>
          <w:szCs w:val="26"/>
        </w:rPr>
        <w:t xml:space="preserve">3.6 Decision Support Framework</w:t>
      </w:r>
    </w:p>
    <w:p>
      <w:pPr>
        <w:spacing w:after="160" w:line="276"/>
        <w:jc w:val="both"/>
      </w:pPr>
      <w:r>
        <w:rPr>
          <w:rFonts w:ascii="Times New Roman" w:cs="Times New Roman" w:eastAsia="Times New Roman" w:hAnsi="Times New Roman"/>
          <w:sz w:val="24"/>
          <w:szCs w:val="24"/>
        </w:rPr>
        <w:t xml:space="preserve">The culminating contribution of this project is an interactive Decision Support Framework — a Streamlit dashboard that takes a practitioner's resource constraints (available memory, computational budget, acceptable forgetting threshold, task similarity) as inputs and recommends the most appropriate continual learning method. The recommendation engine is grounded in the empirical Pareto-optimality analysis performed over all experimental results, making it data-driven rather than heuristic-based. This is the first such tool for hybrid CL method selection to be grounded in a comprehensive controlled empirical study.</w:t>
      </w:r>
    </w:p>
    <w:p>
      <w:pPr>
        <w:pStyle w:val="Heading2"/>
        <w:spacing w:before="240" w:after="120"/>
      </w:pPr>
      <w:r>
        <w:rPr>
          <w:rFonts w:ascii="Times New Roman" w:cs="Times New Roman" w:eastAsia="Times New Roman" w:hAnsi="Times New Roman"/>
          <w:b/>
          <w:bCs/>
          <w:i w:val="false"/>
          <w:iCs w:val="false"/>
          <w:sz w:val="26"/>
          <w:szCs w:val="26"/>
        </w:rPr>
        <w:t xml:space="preserve">3.7 Reproducible Open-Source Framework</w:t>
      </w:r>
    </w:p>
    <w:p>
      <w:pPr>
        <w:spacing w:after="160" w:line="276"/>
        <w:jc w:val="both"/>
      </w:pPr>
      <w:r>
        <w:rPr>
          <w:rFonts w:ascii="Times New Roman" w:cs="Times New Roman" w:eastAsia="Times New Roman" w:hAnsi="Times New Roman"/>
          <w:sz w:val="24"/>
          <w:szCs w:val="24"/>
        </w:rPr>
        <w:t xml:space="preserve">All methods are implemented from scratch in PyTorch without relying on existing CL libraries (such as Avalanche or Mammoth), enabling transparent inspection of every algorithmic detail. The complete codebase — including dataset loaders, model wrappers, training harness, metrics engine, visualization pipeline, and YAML experiment configurations — will be released publicly with full training logs. This reproducible framework will enable the community to extend the comparison to new methods and datasets.</w:t>
      </w:r>
    </w:p>
    <w:p>
      <w:r>
        <w:br w:type="page"/>
      </w:r>
    </w:p>
    <w:p>
      <w:pPr>
        <w:pStyle w:val="Heading1"/>
        <w:spacing w:before="320" w:after="160"/>
      </w:pPr>
      <w:r>
        <w:rPr>
          <w:rFonts w:ascii="Times New Roman" w:cs="Times New Roman" w:eastAsia="Times New Roman" w:hAnsi="Times New Roman"/>
          <w:b/>
          <w:bCs/>
          <w:sz w:val="28"/>
          <w:szCs w:val="28"/>
        </w:rPr>
        <w:t xml:space="preserve">4. Algorithms and Methods</w:t>
      </w:r>
    </w:p>
    <w:p>
      <w:pPr>
        <w:spacing w:after="160" w:line="276"/>
        <w:jc w:val="both"/>
      </w:pPr>
      <w:r>
        <w:rPr>
          <w:rFonts w:ascii="Times New Roman" w:cs="Times New Roman" w:eastAsia="Times New Roman" w:hAnsi="Times New Roman"/>
          <w:sz w:val="24"/>
          <w:szCs w:val="24"/>
        </w:rPr>
        <w:t xml:space="preserve">This section provides a structured overview of all algorithms implemented in the project, organized into baseline methods and hybrid methods, followed by a description of the evaluation infrastructure.</w:t>
      </w:r>
    </w:p>
    <w:p>
      <w:pPr>
        <w:pStyle w:val="Heading2"/>
        <w:spacing w:before="240" w:after="120"/>
      </w:pPr>
      <w:r>
        <w:rPr>
          <w:rFonts w:ascii="Times New Roman" w:cs="Times New Roman" w:eastAsia="Times New Roman" w:hAnsi="Times New Roman"/>
          <w:b/>
          <w:bCs/>
          <w:i w:val="false"/>
          <w:iCs w:val="false"/>
          <w:sz w:val="26"/>
          <w:szCs w:val="26"/>
        </w:rPr>
        <w:t xml:space="preserve">4.1 Baseline Methods</w:t>
      </w:r>
    </w:p>
    <w:p>
      <w:pPr>
        <w:spacing w:after="160" w:line="276"/>
        <w:jc w:val="both"/>
      </w:pPr>
      <w:r>
        <w:rPr>
          <w:rFonts w:ascii="Times New Roman" w:cs="Times New Roman" w:eastAsia="Times New Roman" w:hAnsi="Times New Roman"/>
          <w:sz w:val="24"/>
          <w:szCs w:val="24"/>
        </w:rPr>
        <w:t xml:space="preserve">Five baseline methods are implemented to establish reference performance bounds. These span the spectrum from the worst-case (Fine-Tuning) to the oracle upper bound (Joint Training), with three principled baselines in between.</w:t>
      </w:r>
    </w:p>
    <w:p>
      <w:pPr>
        <w:pStyle w:val="Heading3"/>
        <w:spacing w:before="200" w:after="100"/>
      </w:pPr>
      <w:r>
        <w:rPr>
          <w:rFonts w:ascii="Times New Roman" w:cs="Times New Roman" w:eastAsia="Times New Roman" w:hAnsi="Times New Roman"/>
          <w:b/>
          <w:bCs/>
          <w:sz w:val="24"/>
          <w:szCs w:val="24"/>
        </w:rPr>
        <w:t xml:space="preserve">4.1.1 Fine-Tuning (Lower Bound)</w:t>
      </w:r>
    </w:p>
    <w:p>
      <w:pPr>
        <w:spacing w:after="160" w:line="276"/>
        <w:jc w:val="both"/>
      </w:pPr>
      <w:r>
        <w:rPr>
          <w:rFonts w:ascii="Times New Roman" w:cs="Times New Roman" w:eastAsia="Times New Roman" w:hAnsi="Times New Roman"/>
          <w:sz w:val="24"/>
          <w:szCs w:val="24"/>
        </w:rPr>
        <w:t xml:space="preserve">Fine-Tuning trains the model sequentially on each task with no mechanism to prevent forgetting. It uses standard cross-entropy loss with no modification. Fine-Tuning represents the absolute worst-case performance and serves as the lower bound: any CL method that does not outperform Fine-Tuning on at least some tasks is uninformative. In practice, Fine-Tuning typically achieves near-zero accuracy on all tasks except the most recently learned one, demonstrating the severity of catastrophic forgetting.</w:t>
      </w:r>
    </w:p>
    <w:p>
      <w:pPr>
        <w:pStyle w:val="Heading3"/>
        <w:spacing w:before="200" w:after="100"/>
      </w:pPr>
      <w:r>
        <w:rPr>
          <w:rFonts w:ascii="Times New Roman" w:cs="Times New Roman" w:eastAsia="Times New Roman" w:hAnsi="Times New Roman"/>
          <w:b/>
          <w:bCs/>
          <w:sz w:val="24"/>
          <w:szCs w:val="24"/>
        </w:rPr>
        <w:t xml:space="preserve">4.1.2 Joint Training (Upper Bound)</w:t>
      </w:r>
    </w:p>
    <w:p>
      <w:pPr>
        <w:spacing w:after="160" w:line="276"/>
        <w:jc w:val="both"/>
      </w:pPr>
      <w:r>
        <w:rPr>
          <w:rFonts w:ascii="Times New Roman" w:cs="Times New Roman" w:eastAsia="Times New Roman" w:hAnsi="Times New Roman"/>
          <w:sz w:val="24"/>
          <w:szCs w:val="24"/>
        </w:rPr>
        <w:t xml:space="preserve">Joint Training trains the model simultaneously on data from all tasks seen so far. Because it directly optimizes for performance across all tasks, it provides an oracle upper bound that is not achievable by any true continual learning method (which cannot revisit the full history). The gap between a CL method and Joint Training is a key indicator of that method's effectiveness.</w:t>
      </w:r>
    </w:p>
    <w:p>
      <w:pPr>
        <w:pStyle w:val="Heading3"/>
        <w:spacing w:before="200" w:after="100"/>
      </w:pPr>
      <w:r>
        <w:rPr>
          <w:rFonts w:ascii="Times New Roman" w:cs="Times New Roman" w:eastAsia="Times New Roman" w:hAnsi="Times New Roman"/>
          <w:b/>
          <w:bCs/>
          <w:sz w:val="24"/>
          <w:szCs w:val="24"/>
        </w:rPr>
        <w:t xml:space="preserve">4.1.3 Elastic Weight Consolidation (EWC)</w:t>
      </w:r>
    </w:p>
    <w:p>
      <w:pPr>
        <w:spacing w:after="160" w:line="276"/>
        <w:jc w:val="both"/>
      </w:pPr>
      <w:r>
        <w:rPr>
          <w:rFonts w:ascii="Times New Roman" w:cs="Times New Roman" w:eastAsia="Times New Roman" w:hAnsi="Times New Roman"/>
          <w:sz w:val="24"/>
          <w:szCs w:val="24"/>
        </w:rPr>
        <w:t xml:space="preserve">As described in Section 2.4.1, EWC adds a Fisher Information-weighted penalty to the loss function to protect important weights. The implementation computes the empirical Fisher Information Matrix diagonal at each task boundary using a held-out set of task examples. The regularization strength lambda is treated as a hyperparameter with values explored in {1, 10, 100, 1000}.</w:t>
      </w:r>
    </w:p>
    <w:p>
      <w:pPr>
        <w:pStyle w:val="Heading3"/>
        <w:spacing w:before="200" w:after="100"/>
      </w:pPr>
      <w:r>
        <w:rPr>
          <w:rFonts w:ascii="Times New Roman" w:cs="Times New Roman" w:eastAsia="Times New Roman" w:hAnsi="Times New Roman"/>
          <w:b/>
          <w:bCs/>
          <w:sz w:val="24"/>
          <w:szCs w:val="24"/>
        </w:rPr>
        <w:t xml:space="preserve">4.1.4 Averaged GEM (A-GEM)</w:t>
      </w:r>
    </w:p>
    <w:p>
      <w:pPr>
        <w:spacing w:after="160" w:line="276"/>
        <w:jc w:val="both"/>
      </w:pPr>
      <w:r>
        <w:rPr>
          <w:rFonts w:ascii="Times New Roman" w:cs="Times New Roman" w:eastAsia="Times New Roman" w:hAnsi="Times New Roman"/>
          <w:sz w:val="24"/>
          <w:szCs w:val="24"/>
        </w:rPr>
        <w:t xml:space="preserve">A-GEM maintains a fixed-size replay buffer with random reservoir sampling. At each training step, it samples a batch from the buffer to compute the episodic gradient g_ep and projects the current task gradient onto the feasible region defined by the constraint that the inner product with g_ep is non-negative. The buffer size is a hyperparameter explored in {100, 200, 500}.</w:t>
      </w:r>
    </w:p>
    <w:p>
      <w:pPr>
        <w:pStyle w:val="Heading3"/>
        <w:spacing w:before="200" w:after="100"/>
      </w:pPr>
      <w:r>
        <w:rPr>
          <w:rFonts w:ascii="Times New Roman" w:cs="Times New Roman" w:eastAsia="Times New Roman" w:hAnsi="Times New Roman"/>
          <w:b/>
          <w:bCs/>
          <w:sz w:val="24"/>
          <w:szCs w:val="24"/>
        </w:rPr>
        <w:t xml:space="preserve">4.1.5 Learning without Forgetting (LwF)</w:t>
      </w:r>
    </w:p>
    <w:p>
      <w:pPr>
        <w:spacing w:after="160" w:line="276"/>
        <w:jc w:val="both"/>
      </w:pPr>
      <w:r>
        <w:rPr>
          <w:rFonts w:ascii="Times New Roman" w:cs="Times New Roman" w:eastAsia="Times New Roman" w:hAnsi="Times New Roman"/>
          <w:sz w:val="24"/>
          <w:szCs w:val="24"/>
        </w:rPr>
        <w:t xml:space="preserve">LwF records the model's softmax outputs on new task data before fine-tuning begins, and uses these as pseudo-labels for a knowledge distillation term added to the cross-entropy loss. Temperature T = 2 is used following the original paper. No replay buffer is required, making LwF the most memory-efficient baseline with explicit forgetting prevention.</w:t>
      </w:r>
    </w:p>
    <w:p>
      <w:pPr>
        <w:pStyle w:val="Heading2"/>
        <w:spacing w:before="240" w:after="120"/>
      </w:pPr>
      <w:r>
        <w:rPr>
          <w:rFonts w:ascii="Times New Roman" w:cs="Times New Roman" w:eastAsia="Times New Roman" w:hAnsi="Times New Roman"/>
          <w:b/>
          <w:bCs/>
          <w:i w:val="false"/>
          <w:iCs w:val="false"/>
          <w:sz w:val="26"/>
          <w:szCs w:val="26"/>
        </w:rPr>
        <w:t xml:space="preserve">4.2 Hybrid Methods</w:t>
      </w:r>
    </w:p>
    <w:p>
      <w:pPr>
        <w:spacing w:after="160" w:line="276"/>
        <w:jc w:val="both"/>
      </w:pPr>
      <w:r>
        <w:rPr>
          <w:rFonts w:ascii="Times New Roman" w:cs="Times New Roman" w:eastAsia="Times New Roman" w:hAnsi="Times New Roman"/>
          <w:sz w:val="24"/>
          <w:szCs w:val="24"/>
        </w:rPr>
        <w:t xml:space="preserve">Seven hybrid methods combine two or more of the strategies described in the literature survey. All hybrid methods use Slim ResNet-18 as the primary backbone for local experiments; ViT-Small is used for large-scale Colab experiments.</w:t>
      </w:r>
    </w:p>
    <w:p>
      <w:pPr>
        <w:pStyle w:val="Heading3"/>
        <w:spacing w:before="200" w:after="100"/>
      </w:pPr>
      <w:r>
        <w:rPr>
          <w:rFonts w:ascii="Times New Roman" w:cs="Times New Roman" w:eastAsia="Times New Roman" w:hAnsi="Times New Roman"/>
          <w:b/>
          <w:bCs/>
          <w:sz w:val="24"/>
          <w:szCs w:val="24"/>
        </w:rPr>
        <w:t xml:space="preserve">4.2.1 Dark Experience Replay (DER)</w:t>
      </w:r>
    </w:p>
    <w:p>
      <w:pPr>
        <w:spacing w:after="160" w:line="276"/>
        <w:jc w:val="both"/>
      </w:pPr>
      <w:r>
        <w:rPr>
          <w:rFonts w:ascii="Times New Roman" w:cs="Times New Roman" w:eastAsia="Times New Roman" w:hAnsi="Times New Roman"/>
          <w:sz w:val="24"/>
          <w:szCs w:val="24"/>
        </w:rPr>
        <w:t xml:space="preserve">DER (Buzzega et al., 2020) stores input-logit pairs in a reservoir-sampled buffer. The loss combines cross-entropy on the current batch with MSE between current and stored logits on replayed samples: L_DER = L_CE(f(x), y) + alpha * ||f(x_mem) - z_mem||^2. The weight alpha balances new task learning against old knowledge preservation. DER is the primary hybrid method studied in this project due to its strong empirical performance and conceptual elegance.</w:t>
      </w:r>
    </w:p>
    <w:p>
      <w:pPr>
        <w:pStyle w:val="Heading3"/>
        <w:spacing w:before="200" w:after="100"/>
      </w:pPr>
      <w:r>
        <w:rPr>
          <w:rFonts w:ascii="Times New Roman" w:cs="Times New Roman" w:eastAsia="Times New Roman" w:hAnsi="Times New Roman"/>
          <w:b/>
          <w:bCs/>
          <w:sz w:val="24"/>
          <w:szCs w:val="24"/>
        </w:rPr>
        <w:t xml:space="preserve">4.2.2 Extended DER (X-DER)</w:t>
      </w:r>
    </w:p>
    <w:p>
      <w:pPr>
        <w:spacing w:after="160" w:line="276"/>
        <w:jc w:val="both"/>
      </w:pPr>
      <w:r>
        <w:rPr>
          <w:rFonts w:ascii="Times New Roman" w:cs="Times New Roman" w:eastAsia="Times New Roman" w:hAnsi="Times New Roman"/>
          <w:sz w:val="24"/>
          <w:szCs w:val="24"/>
        </w:rPr>
        <w:t xml:space="preserve">X-DER (Boschini et al., 2022) extends DER with two Class-IL-specific enhancements: (1) a mechanism to update stored logits when new classes are added to the classifier head, so that old samples' stored predictions remain valid in the expanded output space; and (2) a future-class preparation mechanism that reserves softmax capacity for classes not yet encountered. X-DER is the state-of-the-art replay-distillation hybrid for Class-IL and serves as the primary point of comparison for the novel hybrids.</w:t>
      </w:r>
    </w:p>
    <w:p>
      <w:pPr>
        <w:pStyle w:val="Heading3"/>
        <w:spacing w:before="200" w:after="100"/>
      </w:pPr>
      <w:r>
        <w:rPr>
          <w:rFonts w:ascii="Times New Roman" w:cs="Times New Roman" w:eastAsia="Times New Roman" w:hAnsi="Times New Roman"/>
          <w:b/>
          <w:bCs/>
          <w:sz w:val="24"/>
          <w:szCs w:val="24"/>
        </w:rPr>
        <w:t xml:space="preserve">4.2.3 iCaRL</w:t>
      </w:r>
    </w:p>
    <w:p>
      <w:pPr>
        <w:spacing w:after="160" w:line="276"/>
        <w:jc w:val="both"/>
      </w:pPr>
      <w:r>
        <w:rPr>
          <w:rFonts w:ascii="Times New Roman" w:cs="Times New Roman" w:eastAsia="Times New Roman" w:hAnsi="Times New Roman"/>
          <w:sz w:val="24"/>
          <w:szCs w:val="24"/>
        </w:rPr>
        <w:t xml:space="preserve">iCaRL (Rebuffi et al., 2017) combines three components: herding-based exemplar selection, knowledge distillation (following LwF), and a nearest-mean-of-exemplars classifier. During training, iCaRL maintains class prototype vectors in the embedding space. At test time, classification is performed by finding the class whose mean exemplar embedding is closest to the query embedding (rather than using a linear classifier). This non-parametric classification is robust to class-incremental drift.</w:t>
      </w:r>
    </w:p>
    <w:p>
      <w:pPr>
        <w:pStyle w:val="Heading3"/>
        <w:spacing w:before="200" w:after="100"/>
      </w:pPr>
      <w:r>
        <w:rPr>
          <w:rFonts w:ascii="Times New Roman" w:cs="Times New Roman" w:eastAsia="Times New Roman" w:hAnsi="Times New Roman"/>
          <w:b/>
          <w:bCs/>
          <w:sz w:val="24"/>
          <w:szCs w:val="24"/>
        </w:rPr>
        <w:t xml:space="preserve">4.2.4 ER-Reservoir</w:t>
      </w:r>
    </w:p>
    <w:p>
      <w:pPr>
        <w:spacing w:after="160" w:line="276"/>
        <w:jc w:val="both"/>
      </w:pPr>
      <w:r>
        <w:rPr>
          <w:rFonts w:ascii="Times New Roman" w:cs="Times New Roman" w:eastAsia="Times New Roman" w:hAnsi="Times New Roman"/>
          <w:sz w:val="24"/>
          <w:szCs w:val="24"/>
        </w:rPr>
        <w:t xml:space="preserve">ER-Reservoir implements straightforward experience replay with reservoir sampling: at each step, an incoming sample replaces a random existing buffer entry with probability (buffer_size / n_seen). During training, a mini-batch drawn from the buffer is combined with the current task batch and passed through the model with standard cross-entropy loss. ER-Reservoir is the simplest hybrid (replay + current task training) and provides a crucial reference for evaluating the additional value of more complex hybrid components.</w:t>
      </w:r>
    </w:p>
    <w:p>
      <w:pPr>
        <w:pStyle w:val="Heading3"/>
        <w:spacing w:before="200" w:after="100"/>
      </w:pPr>
      <w:r>
        <w:rPr>
          <w:rFonts w:ascii="Times New Roman" w:cs="Times New Roman" w:eastAsia="Times New Roman" w:hAnsi="Times New Roman"/>
          <w:b/>
          <w:bCs/>
          <w:sz w:val="24"/>
          <w:szCs w:val="24"/>
        </w:rPr>
        <w:t xml:space="preserve">4.2.5 ER + EWC (Novel Combination)</w:t>
      </w:r>
    </w:p>
    <w:p>
      <w:pPr>
        <w:spacing w:after="160" w:line="276"/>
        <w:jc w:val="both"/>
      </w:pPr>
      <w:r>
        <w:rPr>
          <w:rFonts w:ascii="Times New Roman" w:cs="Times New Roman" w:eastAsia="Times New Roman" w:hAnsi="Times New Roman"/>
          <w:sz w:val="24"/>
          <w:szCs w:val="24"/>
        </w:rPr>
        <w:t xml:space="preserve">This novel hybrid combines reservoir-based experience replay with EWC regularization. At each task boundary, the Fisher Information Matrix is computed and added as a regularization term. During training, both the replay buffer samples and the EWC penalty contribute to the total loss: L = L_CE(current) + L_CE(replay) + lambda * EWC_penalty. The hypothesis is that replay corrects for distribution shift while EWC provides additional weight-level protection, and that their combination is synergistic.</w:t>
      </w:r>
    </w:p>
    <w:p>
      <w:pPr>
        <w:pStyle w:val="Heading3"/>
        <w:spacing w:before="200" w:after="100"/>
      </w:pPr>
      <w:r>
        <w:rPr>
          <w:rFonts w:ascii="Times New Roman" w:cs="Times New Roman" w:eastAsia="Times New Roman" w:hAnsi="Times New Roman"/>
          <w:b/>
          <w:bCs/>
          <w:sz w:val="24"/>
          <w:szCs w:val="24"/>
        </w:rPr>
        <w:t xml:space="preserve">4.2.6 A-GEM + Distillation (Novel Combination)</w:t>
      </w:r>
    </w:p>
    <w:p>
      <w:pPr>
        <w:spacing w:after="160" w:line="276"/>
        <w:jc w:val="both"/>
      </w:pPr>
      <w:r>
        <w:rPr>
          <w:rFonts w:ascii="Times New Roman" w:cs="Times New Roman" w:eastAsia="Times New Roman" w:hAnsi="Times New Roman"/>
          <w:sz w:val="24"/>
          <w:szCs w:val="24"/>
        </w:rPr>
        <w:t xml:space="preserve">This hybrid augments A-GEM's gradient projection with a knowledge distillation term. In addition to ensuring the gradient does not increase old-task loss (via projection), the model is penalized for deviating from its pre-task outputs via a KL divergence distillation loss. The hypothesis is that gradient projection is a necessary but not sufficient condition for forgetting prevention, and that distillation provides complementary representational alignment.</w:t>
      </w:r>
    </w:p>
    <w:p>
      <w:pPr>
        <w:pStyle w:val="Heading3"/>
        <w:spacing w:before="200" w:after="100"/>
      </w:pPr>
      <w:r>
        <w:rPr>
          <w:rFonts w:ascii="Times New Roman" w:cs="Times New Roman" w:eastAsia="Times New Roman" w:hAnsi="Times New Roman"/>
          <w:b/>
          <w:bCs/>
          <w:sz w:val="24"/>
          <w:szCs w:val="24"/>
        </w:rPr>
        <w:t xml:space="preserve">4.2.7 SI + DER (Novel Combination)</w:t>
      </w:r>
    </w:p>
    <w:p>
      <w:pPr>
        <w:spacing w:after="160" w:line="276"/>
        <w:jc w:val="both"/>
      </w:pPr>
      <w:r>
        <w:rPr>
          <w:rFonts w:ascii="Times New Roman" w:cs="Times New Roman" w:eastAsia="Times New Roman" w:hAnsi="Times New Roman"/>
          <w:sz w:val="24"/>
          <w:szCs w:val="24"/>
        </w:rPr>
        <w:t xml:space="preserve">This hybrid combines Synaptic Intelligence's online weight importance tracking with DER's logit-preserving replay. SI continuously accumulates per-weight importance scores during training, which are used to add a soft regularization penalty at task boundaries. DER's logit replay operates in parallel, providing direct distributional anchoring for old task outputs. This combination targets forgetting from two orthogonal angles: parameter space (SI) and output space (DER).</w:t>
      </w:r>
    </w:p>
    <w:p>
      <w:pPr>
        <w:pStyle w:val="Heading2"/>
        <w:spacing w:before="240" w:after="120"/>
      </w:pPr>
      <w:r>
        <w:rPr>
          <w:rFonts w:ascii="Times New Roman" w:cs="Times New Roman" w:eastAsia="Times New Roman" w:hAnsi="Times New Roman"/>
          <w:b/>
          <w:bCs/>
          <w:i w:val="false"/>
          <w:iCs w:val="false"/>
          <w:sz w:val="26"/>
          <w:szCs w:val="26"/>
        </w:rPr>
        <w:t xml:space="preserve">4.3 Model Architectures</w:t>
      </w:r>
    </w:p>
    <w:p>
      <w:pPr>
        <w:spacing w:after="160" w:line="276"/>
        <w:jc w:val="both"/>
      </w:pPr>
      <w:r>
        <w:rPr>
          <w:rFonts w:ascii="Times New Roman" w:cs="Times New Roman" w:eastAsia="Times New Roman" w:hAnsi="Times New Roman"/>
          <w:sz w:val="24"/>
          <w:szCs w:val="24"/>
        </w:rPr>
        <w:t xml:space="preserve">Two backbone architectures are evaluated across all methods:</w:t>
      </w:r>
    </w:p>
    <w:p>
      <w:pPr>
        <w:pStyle w:val="ListParagraph"/>
        <w:numPr>
          <w:ilvl w:val="0"/>
          <w:numId w:val="2"/>
        </w:numPr>
        <w:spacing w:after="80"/>
        <w:jc w:val="both"/>
      </w:pPr>
      <w:r>
        <w:rPr>
          <w:rFonts w:ascii="Times New Roman" w:cs="Times New Roman" w:eastAsia="Times New Roman" w:hAnsi="Times New Roman"/>
          <w:sz w:val="24"/>
          <w:szCs w:val="24"/>
        </w:rPr>
        <w:t xml:space="preserve">Slim ResNet-18: A lightweight variant of the standard ResNet-18 with approximately 2 million parameters, optimized for 6GB VRAM local GPUs. It supports FP16 mixed-precision training and features an expandable classifier head that grows as new classes arrive. This is the primary local backbone.</w:t>
      </w:r>
    </w:p>
    <w:p>
      <w:pPr>
        <w:pStyle w:val="ListParagraph"/>
        <w:numPr>
          <w:ilvl w:val="0"/>
          <w:numId w:val="2"/>
        </w:numPr>
        <w:spacing w:after="80"/>
        <w:jc w:val="both"/>
      </w:pPr>
      <w:r>
        <w:rPr>
          <w:rFonts w:ascii="Times New Roman" w:cs="Times New Roman" w:eastAsia="Times New Roman" w:hAnsi="Times New Roman"/>
          <w:sz w:val="24"/>
          <w:szCs w:val="24"/>
        </w:rPr>
        <w:t xml:space="preserve">ResNet-8 (Debug Model): An ultra-lightweight 80K parameter network used for rapid debugging and hyperparameter sweeps on MNIST-scale datasets.</w:t>
      </w:r>
    </w:p>
    <w:p>
      <w:pPr>
        <w:pStyle w:val="ListParagraph"/>
        <w:numPr>
          <w:ilvl w:val="0"/>
          <w:numId w:val="2"/>
        </w:numPr>
        <w:spacing w:after="80"/>
        <w:jc w:val="both"/>
      </w:pPr>
      <w:r>
        <w:rPr>
          <w:rFonts w:ascii="Times New Roman" w:cs="Times New Roman" w:eastAsia="Times New Roman" w:hAnsi="Times New Roman"/>
          <w:sz w:val="24"/>
          <w:szCs w:val="24"/>
        </w:rPr>
        <w:t xml:space="preserve">ViT-Small: A Vision Transformer with small patch size, used for Colab-scale experiments on Mini-ImageNet and Tiny-ImageNet. Gradient checkpointing and FP16 are enabled to fit within 15GB VRAM. ViT-Small provides insight into how attention-based architectures interact with CL methods.</w:t>
      </w:r>
    </w:p>
    <w:p>
      <w:pPr>
        <w:pStyle w:val="Heading2"/>
        <w:spacing w:before="240" w:after="120"/>
      </w:pPr>
      <w:r>
        <w:rPr>
          <w:rFonts w:ascii="Times New Roman" w:cs="Times New Roman" w:eastAsia="Times New Roman" w:hAnsi="Times New Roman"/>
          <w:b/>
          <w:bCs/>
          <w:i w:val="false"/>
          <w:iCs w:val="false"/>
          <w:sz w:val="26"/>
          <w:szCs w:val="26"/>
        </w:rPr>
        <w:t xml:space="preserve">4.4 Evaluation Metrics</w:t>
      </w:r>
    </w:p>
    <w:p>
      <w:pPr>
        <w:spacing w:after="160" w:line="276"/>
        <w:jc w:val="both"/>
      </w:pPr>
      <w:r>
        <w:rPr>
          <w:rFonts w:ascii="Times New Roman" w:cs="Times New Roman" w:eastAsia="Times New Roman" w:hAnsi="Times New Roman"/>
          <w:sz w:val="24"/>
          <w:szCs w:val="24"/>
        </w:rPr>
        <w:t xml:space="preserve">All methods are evaluated using the four continual learning metrics described in Section 2.3.2: Average Accuracy (AA), Forgetting Measure (F), Backward Transfer (BWT), and Forward Transfer (FWT). Additionally, computational cost is measured as training time per task, and memory efficiency is measured as the size of the replay buffer and the total number of model parameters. These six metrics together provide a multi-dimensional characterization of each method's performance across the stability-plasticity spectrum.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800"/>
      </w:tblGrid>
      <w:tr>
        <w:tc>
          <w:tcPr>
            <w:tcW w:type="dxa" w:w="22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Metric</w:t>
            </w:r>
          </w:p>
        </w:tc>
        <w:tc>
          <w:tcPr>
            <w:tcW w:type="dxa" w:w="30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Formula</w:t>
            </w:r>
          </w:p>
        </w:tc>
        <w:tc>
          <w:tcPr>
            <w:tcW w:type="dxa" w:w="38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Interpretation</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Average Accuracy (AA)</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AA = (1/T) Σ a_{T,i}</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Overall retention across all tasks; higher is better</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Forgetting (F)</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 = (1/(T-1)) Σ [max a_{j,i} - a_{T,i}]</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Average peak-to-final performance drop; lower is better</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Backward Transfer (BWT)</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BWT = (1/(T-1)) Σ (a_{T,i} - a_{i,i})</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Negative = forgetting; positive = improvement</w:t>
            </w:r>
          </w:p>
        </w:tc>
      </w:tr>
      <w:tr>
        <w:tc>
          <w:tcPr>
            <w:tcW w:type="dxa" w:w="22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Forward Transfer (FWT)</w:t>
            </w:r>
          </w:p>
        </w:tc>
        <w:tc>
          <w:tcPr>
            <w:tcW w:type="dxa" w:w="30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FWT = (1/(T-1)) Σ (a_{i-1,i} - b_i)</w:t>
            </w:r>
          </w:p>
        </w:tc>
        <w:tc>
          <w:tcPr>
            <w:tcW w:type="dxa" w:w="38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How much prior learning helps new tasks; higher is better</w:t>
            </w:r>
          </w:p>
        </w:tc>
      </w:tr>
    </w:tbl>
    <w:p>
      <w:pPr>
        <w:spacing w:after="160"/>
      </w:pPr>
    </w:p>
    <w:p>
      <w:pPr>
        <w:pStyle w:val="Heading2"/>
        <w:spacing w:before="240" w:after="120"/>
      </w:pPr>
      <w:r>
        <w:rPr>
          <w:rFonts w:ascii="Times New Roman" w:cs="Times New Roman" w:eastAsia="Times New Roman" w:hAnsi="Times New Roman"/>
          <w:b/>
          <w:bCs/>
          <w:i w:val="false"/>
          <w:iCs w:val="false"/>
          <w:sz w:val="26"/>
          <w:szCs w:val="26"/>
        </w:rPr>
        <w:t xml:space="preserve">4.5 Datasets</w:t>
      </w:r>
    </w:p>
    <w:p>
      <w:pPr>
        <w:spacing w:after="160" w:line="276"/>
        <w:jc w:val="both"/>
      </w:pPr>
      <w:r>
        <w:rPr>
          <w:rFonts w:ascii="Times New Roman" w:cs="Times New Roman" w:eastAsia="Times New Roman" w:hAnsi="Times New Roman"/>
          <w:sz w:val="24"/>
          <w:szCs w:val="24"/>
        </w:rPr>
        <w:t xml:space="preserve">Four benchmark datasets are used, spanning domain-IL and class-IL scenarios at varying scales of complexity:</w:t>
      </w:r>
    </w:p>
    <w:tbl>
      <w:tblPr>
        <w:tblW w:type="dxa" w:w="84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1100"/>
        <w:gridCol w:w="1600"/>
        <w:gridCol w:w="1760"/>
      </w:tblGrid>
      <w:tr>
        <w:tc>
          <w:tcPr>
            <w:tcW w:type="dxa" w:w="25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Dataset</w:t>
            </w:r>
          </w:p>
        </w:tc>
        <w:tc>
          <w:tcPr>
            <w:tcW w:type="dxa" w:w="15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Scenario</w:t>
            </w:r>
          </w:p>
        </w:tc>
        <w:tc>
          <w:tcPr>
            <w:tcW w:type="dxa" w:w="11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Tasks</w:t>
            </w:r>
          </w:p>
        </w:tc>
        <w:tc>
          <w:tcPr>
            <w:tcW w:type="dxa" w:w="160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Classes/Task</w:t>
            </w:r>
          </w:p>
        </w:tc>
        <w:tc>
          <w:tcPr>
            <w:tcW w:type="dxa" w:w="1760"/>
            <w:tcBorders>
              <w:top w:val="single" w:color="999999" w:sz="1"/>
              <w:left w:val="single" w:color="999999" w:sz="1"/>
              <w:bottom w:val="single" w:color="999999" w:sz="1"/>
              <w:right w:val="single" w:color="999999" w:sz="1"/>
            </w:tcBorders>
            <w:shd w:fill="D9E2F3" w:val="clear"/>
            <w:tcMar>
              <w:top w:type="dxa" w:w="80"/>
              <w:left w:type="dxa" w:w="120"/>
              <w:bottom w:type="dxa" w:w="80"/>
              <w:right w:type="dxa" w:w="120"/>
            </w:tcMar>
          </w:tcPr>
          <w:p>
            <w:pPr>
              <w:jc w:val="left"/>
            </w:pPr>
            <w:r>
              <w:rPr>
                <w:rFonts w:ascii="Times New Roman" w:cs="Times New Roman" w:eastAsia="Times New Roman" w:hAnsi="Times New Roman"/>
                <w:b/>
                <w:bCs/>
                <w:sz w:val="22"/>
                <w:szCs w:val="22"/>
              </w:rPr>
              <w:t xml:space="preserve">Platform</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Permuted MNIST</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Domain-IL</w:t>
            </w:r>
          </w:p>
        </w:tc>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Local</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Split CIFAR-10</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Class-IL</w:t>
            </w:r>
          </w:p>
        </w:tc>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Local</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Split CIFAR-100</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Class-IL</w:t>
            </w:r>
          </w:p>
        </w:tc>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Local (FP16)</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Split Mini-ImageNet</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Class-IL</w:t>
            </w:r>
          </w:p>
        </w:tc>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5</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Colab / Kaggle</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Sequential Tiny-ImageNet</w:t>
            </w:r>
          </w:p>
        </w:tc>
        <w:tc>
          <w:tcPr>
            <w:tcW w:type="dxa" w:w="1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Class-IL</w:t>
            </w:r>
          </w:p>
        </w:tc>
        <w:tc>
          <w:tcPr>
            <w:tcW w:type="dxa" w:w="11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10</w:t>
            </w:r>
          </w:p>
        </w:tc>
        <w:tc>
          <w:tcPr>
            <w:tcW w:type="dxa" w:w="16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20</w:t>
            </w:r>
          </w:p>
        </w:tc>
        <w:tc>
          <w:tcPr>
            <w:tcW w:type="dxa" w:w="176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rFonts w:ascii="Times New Roman" w:cs="Times New Roman" w:eastAsia="Times New Roman" w:hAnsi="Times New Roman"/>
                <w:b w:val="false"/>
                <w:bCs w:val="false"/>
                <w:sz w:val="22"/>
                <w:szCs w:val="22"/>
              </w:rPr>
              <w:t xml:space="preserve">Colab / Kaggle</w:t>
            </w:r>
          </w:p>
        </w:tc>
      </w:tr>
    </w:tbl>
    <w:p>
      <w:pPr>
        <w:spacing w:after="160"/>
      </w:pPr>
    </w:p>
    <w:p>
      <w:pPr>
        <w:pStyle w:val="Heading2"/>
        <w:spacing w:before="240" w:after="120"/>
      </w:pPr>
      <w:r>
        <w:rPr>
          <w:rFonts w:ascii="Times New Roman" w:cs="Times New Roman" w:eastAsia="Times New Roman" w:hAnsi="Times New Roman"/>
          <w:b/>
          <w:bCs/>
          <w:i w:val="false"/>
          <w:iCs w:val="false"/>
          <w:sz w:val="26"/>
          <w:szCs w:val="26"/>
        </w:rPr>
        <w:t xml:space="preserve">4.6 Preprocessing Pipeline</w:t>
      </w:r>
    </w:p>
    <w:p>
      <w:pPr>
        <w:spacing w:after="160" w:line="276"/>
        <w:jc w:val="both"/>
      </w:pPr>
      <w:r>
        <w:rPr>
          <w:rFonts w:ascii="Times New Roman" w:cs="Times New Roman" w:eastAsia="Times New Roman" w:hAnsi="Times New Roman"/>
          <w:sz w:val="24"/>
          <w:szCs w:val="24"/>
        </w:rPr>
        <w:t xml:space="preserve">All datasets pass through a unified preprocessing pipeline: (1) image resizing to normalize input dimensions for the base model architectures; (2) pixel normalization to standardize pixel values to a zero-mean, unit-variance range using dataset-specific channel statistics, ensuring stable gradient descent; and (3) task-specific transformations — specifically, the Permuted MNIST dataset applies a fixed random pixel permutation per task to generate distinct domain shifts while keeping the same set of digit classes. FP16 conversion is applied at the tensor level for all experiments that require it.</w:t>
      </w:r>
    </w:p>
    <w:p>
      <w:r>
        <w:br w:type="page"/>
      </w:r>
    </w:p>
    <w:p>
      <w:pPr>
        <w:pStyle w:val="Heading1"/>
        <w:spacing w:before="320" w:after="160"/>
      </w:pPr>
      <w:r>
        <w:rPr>
          <w:rFonts w:ascii="Times New Roman" w:cs="Times New Roman" w:eastAsia="Times New Roman" w:hAnsi="Times New Roman"/>
          <w:b/>
          <w:bCs/>
          <w:sz w:val="28"/>
          <w:szCs w:val="28"/>
        </w:rPr>
        <w:t xml:space="preserve">5. References</w:t>
      </w:r>
    </w:p>
    <w:p>
      <w:pPr>
        <w:spacing w:after="100"/>
        <w:ind w:left="720" w:hanging="720"/>
        <w:jc w:val="both"/>
      </w:pPr>
      <w:r>
        <w:rPr>
          <w:rFonts w:ascii="Times New Roman" w:cs="Times New Roman" w:eastAsia="Times New Roman" w:hAnsi="Times New Roman"/>
          <w:sz w:val="22"/>
          <w:szCs w:val="22"/>
        </w:rPr>
        <w:t xml:space="preserve">[1] Vaswani, A., et al. (2017). Attention is all you need. Advances in Neural Information Processing Systems, 30. https://arxiv.org/abs/1706.03762</w:t>
      </w:r>
    </w:p>
    <w:p>
      <w:pPr>
        <w:spacing w:after="100"/>
        <w:ind w:left="720" w:hanging="720"/>
        <w:jc w:val="both"/>
      </w:pPr>
      <w:r>
        <w:rPr>
          <w:rFonts w:ascii="Times New Roman" w:cs="Times New Roman" w:eastAsia="Times New Roman" w:hAnsi="Times New Roman"/>
          <w:sz w:val="22"/>
          <w:szCs w:val="22"/>
        </w:rPr>
        <w:t xml:space="preserve">[2] McCloskey, M., &amp; Cohen, N. J. (1989). Catastrophic interference in connectionist networks: The sequential learning problem. Psychology of Learning and Motivation, 24, 109–165.</w:t>
      </w:r>
    </w:p>
    <w:p>
      <w:pPr>
        <w:spacing w:after="100"/>
        <w:ind w:left="720" w:hanging="720"/>
        <w:jc w:val="both"/>
      </w:pPr>
      <w:r>
        <w:rPr>
          <w:rFonts w:ascii="Times New Roman" w:cs="Times New Roman" w:eastAsia="Times New Roman" w:hAnsi="Times New Roman"/>
          <w:sz w:val="22"/>
          <w:szCs w:val="22"/>
        </w:rPr>
        <w:t xml:space="preserve">[3] French, R. M. (1999). Catastrophic forgetting in connectionist networks. Trends in Cognitive Sciences, 3(4), 128–135.</w:t>
      </w:r>
    </w:p>
    <w:p>
      <w:pPr>
        <w:spacing w:after="100"/>
        <w:ind w:left="720" w:hanging="720"/>
        <w:jc w:val="both"/>
      </w:pPr>
      <w:r>
        <w:rPr>
          <w:rFonts w:ascii="Times New Roman" w:cs="Times New Roman" w:eastAsia="Times New Roman" w:hAnsi="Times New Roman"/>
          <w:sz w:val="22"/>
          <w:szCs w:val="22"/>
        </w:rPr>
        <w:t xml:space="preserve">[4] Grossberg, S. (1980). How does a brain build a cognitive code? Psychological Review, 87(1), 1–51.</w:t>
      </w:r>
    </w:p>
    <w:p>
      <w:pPr>
        <w:spacing w:after="100"/>
        <w:ind w:left="720" w:hanging="720"/>
        <w:jc w:val="both"/>
      </w:pPr>
      <w:r>
        <w:rPr>
          <w:rFonts w:ascii="Times New Roman" w:cs="Times New Roman" w:eastAsia="Times New Roman" w:hAnsi="Times New Roman"/>
          <w:sz w:val="22"/>
          <w:szCs w:val="22"/>
        </w:rPr>
        <w:t xml:space="preserve">[5] Scialom, T., Chakrabarty, T., &amp; Muresan, S. (2022). Fine-tuned language models are continual learners. EMNLP. https://arxiv.org/abs/2205.12393</w:t>
      </w:r>
    </w:p>
    <w:p>
      <w:pPr>
        <w:spacing w:after="100"/>
        <w:ind w:left="720" w:hanging="720"/>
        <w:jc w:val="both"/>
      </w:pPr>
      <w:r>
        <w:rPr>
          <w:rFonts w:ascii="Times New Roman" w:cs="Times New Roman" w:eastAsia="Times New Roman" w:hAnsi="Times New Roman"/>
          <w:sz w:val="22"/>
          <w:szCs w:val="22"/>
        </w:rPr>
        <w:t xml:space="preserve">[6] Wang, L., et al. (2024). A comprehensive survey of continual learning: Theory, method and application. IEEE TPAMI. https://arxiv.org/abs/2302.00487</w:t>
      </w:r>
    </w:p>
    <w:p>
      <w:pPr>
        <w:spacing w:after="100"/>
        <w:ind w:left="720" w:hanging="720"/>
        <w:jc w:val="both"/>
      </w:pPr>
      <w:r>
        <w:rPr>
          <w:rFonts w:ascii="Times New Roman" w:cs="Times New Roman" w:eastAsia="Times New Roman" w:hAnsi="Times New Roman"/>
          <w:sz w:val="22"/>
          <w:szCs w:val="22"/>
        </w:rPr>
        <w:t xml:space="preserve">[7] van de Ven, G. M., &amp; Tolias, A. S. (2019). Three scenarios for continual learning. NeurIPS CL Workshop. https://arxiv.org/abs/1904.07734</w:t>
      </w:r>
    </w:p>
    <w:p>
      <w:pPr>
        <w:spacing w:after="100"/>
        <w:ind w:left="720" w:hanging="720"/>
        <w:jc w:val="both"/>
      </w:pPr>
      <w:r>
        <w:rPr>
          <w:rFonts w:ascii="Times New Roman" w:cs="Times New Roman" w:eastAsia="Times New Roman" w:hAnsi="Times New Roman"/>
          <w:sz w:val="22"/>
          <w:szCs w:val="22"/>
        </w:rPr>
        <w:t xml:space="preserve">[8] Kirkpatrick, J., et al. (2017). Overcoming catastrophic forgetting in neural networks. PNAS, 114(13), 3521–3526. https://arxiv.org/abs/1612.00796</w:t>
      </w:r>
    </w:p>
    <w:p>
      <w:pPr>
        <w:spacing w:after="100"/>
        <w:ind w:left="720" w:hanging="720"/>
        <w:jc w:val="both"/>
      </w:pPr>
      <w:r>
        <w:rPr>
          <w:rFonts w:ascii="Times New Roman" w:cs="Times New Roman" w:eastAsia="Times New Roman" w:hAnsi="Times New Roman"/>
          <w:sz w:val="22"/>
          <w:szCs w:val="22"/>
        </w:rPr>
        <w:t xml:space="preserve">[9] Zenke, F., Poole, B., &amp; Ganguli, S. (2017). Continual learning through synaptic intelligence. ICML, 3987–3995. https://arxiv.org/abs/1703.04200</w:t>
      </w:r>
    </w:p>
    <w:p>
      <w:pPr>
        <w:spacing w:after="100"/>
        <w:ind w:left="720" w:hanging="720"/>
        <w:jc w:val="both"/>
      </w:pPr>
      <w:r>
        <w:rPr>
          <w:rFonts w:ascii="Times New Roman" w:cs="Times New Roman" w:eastAsia="Times New Roman" w:hAnsi="Times New Roman"/>
          <w:sz w:val="22"/>
          <w:szCs w:val="22"/>
        </w:rPr>
        <w:t xml:space="preserve">[10] Li, Z., &amp; Hoiem, D. (2017). Learning without forgetting. IEEE TPAMI, 40(12), 2935–2947. https://arxiv.org/abs/1606.09282</w:t>
      </w:r>
    </w:p>
    <w:p>
      <w:pPr>
        <w:spacing w:after="100"/>
        <w:ind w:left="720" w:hanging="720"/>
        <w:jc w:val="both"/>
      </w:pPr>
      <w:r>
        <w:rPr>
          <w:rFonts w:ascii="Times New Roman" w:cs="Times New Roman" w:eastAsia="Times New Roman" w:hAnsi="Times New Roman"/>
          <w:sz w:val="22"/>
          <w:szCs w:val="22"/>
        </w:rPr>
        <w:t xml:space="preserve">[11] Lopez-Paz, D., &amp; Ranzato, M. (2017). Gradient episodic memory for continual learning. NeurIPS, 30. https://arxiv.org/abs/1706.08840</w:t>
      </w:r>
    </w:p>
    <w:p>
      <w:pPr>
        <w:spacing w:after="100"/>
        <w:ind w:left="720" w:hanging="720"/>
        <w:jc w:val="both"/>
      </w:pPr>
      <w:r>
        <w:rPr>
          <w:rFonts w:ascii="Times New Roman" w:cs="Times New Roman" w:eastAsia="Times New Roman" w:hAnsi="Times New Roman"/>
          <w:sz w:val="22"/>
          <w:szCs w:val="22"/>
        </w:rPr>
        <w:t xml:space="preserve">[12] Chaudhry, A., et al. (2019). Efficient lifelong learning with A-GEM. ICLR. https://arxiv.org/abs/1812.00420</w:t>
      </w:r>
    </w:p>
    <w:p>
      <w:pPr>
        <w:spacing w:after="100"/>
        <w:ind w:left="720" w:hanging="720"/>
        <w:jc w:val="both"/>
      </w:pPr>
      <w:r>
        <w:rPr>
          <w:rFonts w:ascii="Times New Roman" w:cs="Times New Roman" w:eastAsia="Times New Roman" w:hAnsi="Times New Roman"/>
          <w:sz w:val="22"/>
          <w:szCs w:val="22"/>
        </w:rPr>
        <w:t xml:space="preserve">[13] Chaudhry, A., et al. (2019). On tiny episodic memories in continual learning. arXiv:1902.10486. https://arxiv.org/abs/1902.10486</w:t>
      </w:r>
    </w:p>
    <w:p>
      <w:pPr>
        <w:spacing w:after="100"/>
        <w:ind w:left="720" w:hanging="720"/>
        <w:jc w:val="both"/>
      </w:pPr>
      <w:r>
        <w:rPr>
          <w:rFonts w:ascii="Times New Roman" w:cs="Times New Roman" w:eastAsia="Times New Roman" w:hAnsi="Times New Roman"/>
          <w:sz w:val="22"/>
          <w:szCs w:val="22"/>
        </w:rPr>
        <w:t xml:space="preserve">[14] Buzzega, P., et al. (2020). Dark experience for general continual learning: A strong, simple baseline. NeurIPS, 33. https://arxiv.org/abs/2004.07211</w:t>
      </w:r>
    </w:p>
    <w:p>
      <w:pPr>
        <w:spacing w:after="100"/>
        <w:ind w:left="720" w:hanging="720"/>
        <w:jc w:val="both"/>
      </w:pPr>
      <w:r>
        <w:rPr>
          <w:rFonts w:ascii="Times New Roman" w:cs="Times New Roman" w:eastAsia="Times New Roman" w:hAnsi="Times New Roman"/>
          <w:sz w:val="22"/>
          <w:szCs w:val="22"/>
        </w:rPr>
        <w:t xml:space="preserve">[15] Boschini, M., et al. (2022). Class-incremental continual learning into the eXtended DER-verse. IEEE TPAMI. https://arxiv.org/abs/2201.00766</w:t>
      </w:r>
    </w:p>
    <w:p>
      <w:pPr>
        <w:spacing w:after="100"/>
        <w:ind w:left="720" w:hanging="720"/>
        <w:jc w:val="both"/>
      </w:pPr>
      <w:r>
        <w:rPr>
          <w:rFonts w:ascii="Times New Roman" w:cs="Times New Roman" w:eastAsia="Times New Roman" w:hAnsi="Times New Roman"/>
          <w:sz w:val="22"/>
          <w:szCs w:val="22"/>
        </w:rPr>
        <w:t xml:space="preserve">[16] Rebuffi, S.-A., Kolesnikov, A., Sperl, G., &amp; Lampert, C. H. (2017). iCaRL: Incremental classifier and representation learning. CVPR. https://arxiv.org/abs/1611.07725</w:t>
      </w:r>
    </w:p>
    <w:p>
      <w:pPr>
        <w:spacing w:after="100"/>
        <w:ind w:left="720" w:hanging="720"/>
        <w:jc w:val="both"/>
      </w:pPr>
      <w:r>
        <w:rPr>
          <w:rFonts w:ascii="Times New Roman" w:cs="Times New Roman" w:eastAsia="Times New Roman" w:hAnsi="Times New Roman"/>
          <w:sz w:val="22"/>
          <w:szCs w:val="22"/>
        </w:rPr>
        <w:t xml:space="preserve">[17] Schwarz, J., et al. (2018). Progress &amp; compress: A scalable framework for continual learning. ICML. https://arxiv.org/abs/1805.06370</w:t>
      </w:r>
    </w:p>
    <w:p>
      <w:pPr>
        <w:spacing w:after="100"/>
        <w:ind w:left="720" w:hanging="720"/>
        <w:jc w:val="both"/>
      </w:pPr>
      <w:r>
        <w:rPr>
          <w:rFonts w:ascii="Times New Roman" w:cs="Times New Roman" w:eastAsia="Times New Roman" w:hAnsi="Times New Roman"/>
          <w:sz w:val="22"/>
          <w:szCs w:val="22"/>
        </w:rPr>
        <w:t xml:space="preserve">[18] Rusu, A. A., et al. (2016). Progressive neural networks. arXiv:1606.04671. https://arxiv.org/abs/1606.04671</w:t>
      </w:r>
    </w:p>
    <w:p>
      <w:pPr>
        <w:spacing w:after="100"/>
        <w:ind w:left="720" w:hanging="720"/>
        <w:jc w:val="both"/>
      </w:pPr>
      <w:r>
        <w:rPr>
          <w:rFonts w:ascii="Times New Roman" w:cs="Times New Roman" w:eastAsia="Times New Roman" w:hAnsi="Times New Roman"/>
          <w:sz w:val="22"/>
          <w:szCs w:val="22"/>
        </w:rPr>
        <w:t xml:space="preserve">[19] Mallya, A., &amp; Lazebnik, S. (2018). PackNet: Adding multiple tasks to a single network by iterative pruning. CVPR, 7765–7773. https://arxiv.org/abs/1711.05769</w:t>
      </w:r>
    </w:p>
    <w:p>
      <w:pPr>
        <w:spacing w:after="100"/>
        <w:ind w:left="720" w:hanging="720"/>
        <w:jc w:val="both"/>
      </w:pPr>
      <w:r>
        <w:rPr>
          <w:rFonts w:ascii="Times New Roman" w:cs="Times New Roman" w:eastAsia="Times New Roman" w:hAnsi="Times New Roman"/>
          <w:sz w:val="22"/>
          <w:szCs w:val="22"/>
        </w:rPr>
        <w:t xml:space="preserve">[20] De Lange, M., et al. (2021). A continual learning survey: Defying forgetting in classification tasks. IEEE TPAMI, 44(7), 3366–3385. https://arxiv.org/abs/1909.08383</w:t>
      </w:r>
    </w:p>
    <w:p>
      <w:pPr>
        <w:spacing w:after="100"/>
        <w:ind w:left="720" w:hanging="720"/>
        <w:jc w:val="both"/>
      </w:pPr>
      <w:r>
        <w:rPr>
          <w:rFonts w:ascii="Times New Roman" w:cs="Times New Roman" w:eastAsia="Times New Roman" w:hAnsi="Times New Roman"/>
          <w:sz w:val="22"/>
          <w:szCs w:val="22"/>
        </w:rPr>
        <w:t xml:space="preserve">[21] Hinton, G., Vinyals, O., &amp; Dean, J. (2015). Distilling the knowledge in a neural network. NIPS Deep Learning Workshop. https://arxiv.org/abs/1503.02531</w:t>
      </w:r>
    </w:p>
    <w:p>
      <w:pPr>
        <w:spacing w:after="100"/>
        <w:ind w:left="720" w:hanging="720"/>
        <w:jc w:val="both"/>
      </w:pPr>
      <w:r>
        <w:rPr>
          <w:rFonts w:ascii="Times New Roman" w:cs="Times New Roman" w:eastAsia="Times New Roman" w:hAnsi="Times New Roman"/>
          <w:sz w:val="22"/>
          <w:szCs w:val="22"/>
        </w:rPr>
        <w:t xml:space="preserve">[22] Dey, J., et al. (2020). Simple lifelong learning machines. arXiv:2004.12908. https://arxiv.org/abs/2004.12908</w:t>
      </w:r>
    </w:p>
    <w:p>
      <w:pPr>
        <w:spacing w:after="100"/>
        <w:ind w:left="720" w:hanging="720"/>
        <w:jc w:val="both"/>
      </w:pPr>
      <w:r>
        <w:rPr>
          <w:rFonts w:ascii="Times New Roman" w:cs="Times New Roman" w:eastAsia="Times New Roman" w:hAnsi="Times New Roman"/>
          <w:sz w:val="22"/>
          <w:szCs w:val="22"/>
        </w:rPr>
        <w:t xml:space="preserve">[23] Dosovitskiy, A., et al. (2021). An image is worth 16x16 words: Transformers for image recognition at scale. ICLR. https://arxiv.org/abs/2010.11929</w:t>
      </w:r>
    </w:p>
    <w:p>
      <w:pPr>
        <w:spacing w:after="100"/>
        <w:ind w:left="720" w:hanging="720"/>
        <w:jc w:val="both"/>
      </w:pPr>
      <w:r>
        <w:rPr>
          <w:rFonts w:ascii="Times New Roman" w:cs="Times New Roman" w:eastAsia="Times New Roman" w:hAnsi="Times New Roman"/>
          <w:sz w:val="22"/>
          <w:szCs w:val="22"/>
        </w:rPr>
        <w:t xml:space="preserve">[24] Geva, M., et al. (2021). Transformer feed-forward layers are key-value memories. EMNLP. https://arxiv.org/abs/2012.14913</w:t>
      </w:r>
    </w:p>
    <w:sectPr>
      <w:pgSz w:w="12240" w:h="15840" w:orient="portrait"/>
      <w:pgMar w:top="1440" w:right="1440" w:bottom="1440" w:left="16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6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2026-03-23T06:37:49.974Z</dcterms:created>
  <dcterms:modified xsi:type="dcterms:W3CDTF">2026-03-23T06:37:49.975Z</dcterms:modified>
</cp:coreProperties>
</file>

<file path=docProps/custom.xml><?xml version="1.0" encoding="utf-8"?>
<Properties xmlns="http://schemas.openxmlformats.org/officeDocument/2006/custom-properties" xmlns:vt="http://schemas.openxmlformats.org/officeDocument/2006/docPropsVTypes"/>
</file>