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C2230" w:val="clear"/>
            <w:tcMar>
              <w:top w:type="dxa" w:w="460"/>
              <w:left w:type="dxa" w:w="420"/>
              <w:bottom w:type="dxa" w:w="460"/>
              <w:right w:type="dxa" w:w="420"/>
            </w:tcMar>
          </w:tcPr>
          <w:p>
            <w:pPr>
              <w:spacing w:after="220" w:before="0"/>
              <w:jc w:val="left"/>
            </w:pPr>
            <w:r>
              <w:rPr>
                <w:b/>
                <w:bCs/>
                <w:color w:val="5BD49A"/>
                <w:spacing w:val="40"/>
                <w:sz w:val="16"/>
                <w:szCs w:val="16"/>
              </w:rPr>
              <w:t xml:space="preserve">STATEMENT OF WORK  •  PROPOSAL</w:t>
            </w:r>
          </w:p>
          <w:p>
            <w:pPr>
              <w:spacing w:after="60" w:before="0"/>
              <w:jc w:val="left"/>
            </w:pPr>
            <w:r>
              <w:rPr>
                <w:b/>
                <w:bCs/>
                <w:color w:val="FFFFFF"/>
                <w:sz w:val="40"/>
                <w:szCs w:val="40"/>
              </w:rPr>
              <w:t xml:space="preserve">REQUISOR</w:t>
            </w:r>
            <w:r>
              <w:rPr>
                <w:b/>
                <w:bCs/>
                <w:color w:val="5BD49A"/>
                <w:sz w:val="40"/>
                <w:szCs w:val="40"/>
              </w:rPr>
              <w:t xml:space="preserve"> AI</w:t>
            </w:r>
          </w:p>
          <w:p>
            <w:pPr>
              <w:spacing w:after="360" w:before="0"/>
              <w:jc w:val="left"/>
            </w:pPr>
            <w:r>
              <w:rPr>
                <w:i/>
                <w:iCs/>
                <w:color w:val="AEB6C2"/>
                <w:sz w:val="17"/>
                <w:szCs w:val="17"/>
              </w:rPr>
              <w:t xml:space="preserve">build, deliver, and teach AI that actually ships</w:t>
            </w:r>
          </w:p>
          <w:p>
            <w:pPr>
              <w:spacing w:after="40" w:before="0"/>
              <w:jc w:val="left"/>
            </w:pPr>
            <w:r>
              <w:rPr>
                <w:b/>
                <w:bCs/>
                <w:color w:val="FFFFFF"/>
                <w:sz w:val="52"/>
                <w:szCs w:val="52"/>
              </w:rPr>
              <w:t xml:space="preserve">Boat Booth</w:t>
            </w:r>
          </w:p>
          <w:p>
            <w:pPr>
              <w:spacing w:after="0" w:before="0"/>
              <w:jc w:val="left"/>
            </w:pPr>
            <w:r>
              <w:rPr>
                <w:color w:val="5BD49A"/>
                <w:sz w:val="24"/>
                <w:szCs w:val="24"/>
              </w:rPr>
              <w:t xml:space="preserve">AI Photo Wall &amp; AI Video Activation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left w:val="none"/>
              <w:bottom w:val="none"/>
              <w:right w:val="none"/>
            </w:tcBorders>
            <w:tcMar>
              <w:top w:type="dxa" w:w="80"/>
              <w:left w:type="dxa" w:w="120"/>
              <w:bottom w:type="dxa" w:w="80"/>
              <w:right w:type="dxa" w:w="120"/>
            </w:tcMar>
          </w:tcPr>
          <w:p>
            <w:r>
              <w:rPr>
                <w:b/>
                <w:bCs/>
                <w:color w:val="1C2230"/>
                <w:sz w:val="20"/>
                <w:szCs w:val="20"/>
              </w:rPr>
              <w:t xml:space="preserve">Prepared for</w:t>
            </w:r>
          </w:p>
        </w:tc>
        <w:tc>
          <w:tcPr>
            <w:tcW w:type="dxa" w:w="6860"/>
            <w:tcBorders>
              <w:top w:val="none"/>
              <w:left w:val="none"/>
              <w:bottom w:val="none"/>
              <w:right w:val="none"/>
            </w:tcBorders>
            <w:tcMar>
              <w:top w:type="dxa" w:w="80"/>
              <w:left w:type="dxa" w:w="120"/>
              <w:bottom w:type="dxa" w:w="80"/>
              <w:right w:type="dxa" w:w="120"/>
            </w:tcMar>
          </w:tcPr>
          <w:p>
            <w:r>
              <w:rPr>
                <w:sz w:val="20"/>
                <w:szCs w:val="20"/>
              </w:rPr>
              <w:t xml:space="preserve">Peak Technologies</w:t>
            </w:r>
          </w:p>
        </w:tc>
      </w:tr>
      <w:tr>
        <w:tc>
          <w:tcPr>
            <w:tcW w:type="dxa" w:w="2500"/>
            <w:tcBorders>
              <w:top w:val="none"/>
              <w:left w:val="none"/>
              <w:bottom w:val="none"/>
              <w:right w:val="none"/>
            </w:tcBorders>
            <w:tcMar>
              <w:top w:type="dxa" w:w="80"/>
              <w:left w:type="dxa" w:w="120"/>
              <w:bottom w:type="dxa" w:w="80"/>
              <w:right w:type="dxa" w:w="120"/>
            </w:tcMar>
          </w:tcPr>
          <w:p>
            <w:r>
              <w:rPr>
                <w:b/>
                <w:bCs/>
                <w:color w:val="1C2230"/>
                <w:sz w:val="20"/>
                <w:szCs w:val="20"/>
              </w:rPr>
              <w:t xml:space="preserve">End client</w:t>
            </w:r>
          </w:p>
        </w:tc>
        <w:tc>
          <w:tcPr>
            <w:tcW w:type="dxa" w:w="6860"/>
            <w:tcBorders>
              <w:top w:val="none"/>
              <w:left w:val="none"/>
              <w:bottom w:val="none"/>
              <w:right w:val="none"/>
            </w:tcBorders>
            <w:tcMar>
              <w:top w:type="dxa" w:w="80"/>
              <w:left w:type="dxa" w:w="120"/>
              <w:bottom w:type="dxa" w:w="80"/>
              <w:right w:type="dxa" w:w="120"/>
            </w:tcMar>
          </w:tcPr>
          <w:p>
            <w:r>
              <w:rPr>
                <w:sz w:val="20"/>
                <w:szCs w:val="20"/>
              </w:rPr>
              <w:t xml:space="preserve">National Marine Manufacturers Association (NMMA)</w:t>
            </w:r>
          </w:p>
        </w:tc>
      </w:tr>
      <w:tr>
        <w:tc>
          <w:tcPr>
            <w:tcW w:type="dxa" w:w="2500"/>
            <w:tcBorders>
              <w:top w:val="none"/>
              <w:left w:val="none"/>
              <w:bottom w:val="none"/>
              <w:right w:val="none"/>
            </w:tcBorders>
            <w:tcMar>
              <w:top w:type="dxa" w:w="80"/>
              <w:left w:type="dxa" w:w="120"/>
              <w:bottom w:type="dxa" w:w="80"/>
              <w:right w:type="dxa" w:w="120"/>
            </w:tcMar>
          </w:tcPr>
          <w:p>
            <w:r>
              <w:rPr>
                <w:b/>
                <w:bCs/>
                <w:color w:val="1C2230"/>
                <w:sz w:val="20"/>
                <w:szCs w:val="20"/>
              </w:rPr>
              <w:t xml:space="preserve">Prepared by</w:t>
            </w:r>
          </w:p>
        </w:tc>
        <w:tc>
          <w:tcPr>
            <w:tcW w:type="dxa" w:w="6860"/>
            <w:tcBorders>
              <w:top w:val="none"/>
              <w:left w:val="none"/>
              <w:bottom w:val="none"/>
              <w:right w:val="none"/>
            </w:tcBorders>
            <w:tcMar>
              <w:top w:type="dxa" w:w="80"/>
              <w:left w:type="dxa" w:w="120"/>
              <w:bottom w:type="dxa" w:w="80"/>
              <w:right w:type="dxa" w:w="120"/>
            </w:tcMar>
          </w:tcPr>
          <w:p>
            <w:r>
              <w:rPr>
                <w:sz w:val="20"/>
                <w:szCs w:val="20"/>
              </w:rPr>
              <w:t xml:space="preserve">Citrus Innovations Inc (d/b/a Requisor AI)</w:t>
            </w:r>
          </w:p>
        </w:tc>
      </w:tr>
      <w:tr>
        <w:tc>
          <w:tcPr>
            <w:tcW w:type="dxa" w:w="2500"/>
            <w:tcBorders>
              <w:top w:val="none"/>
              <w:left w:val="none"/>
              <w:bottom w:val="none"/>
              <w:right w:val="none"/>
            </w:tcBorders>
            <w:tcMar>
              <w:top w:type="dxa" w:w="80"/>
              <w:left w:type="dxa" w:w="120"/>
              <w:bottom w:type="dxa" w:w="80"/>
              <w:right w:type="dxa" w:w="120"/>
            </w:tcMar>
          </w:tcPr>
          <w:p>
            <w:r>
              <w:rPr>
                <w:b/>
                <w:bCs/>
                <w:color w:val="1C2230"/>
                <w:sz w:val="20"/>
                <w:szCs w:val="20"/>
              </w:rPr>
              <w:t xml:space="preserve">Engagement</w:t>
            </w:r>
          </w:p>
        </w:tc>
        <w:tc>
          <w:tcPr>
            <w:tcW w:type="dxa" w:w="6860"/>
            <w:tcBorders>
              <w:top w:val="none"/>
              <w:left w:val="none"/>
              <w:bottom w:val="none"/>
              <w:right w:val="none"/>
            </w:tcBorders>
            <w:tcMar>
              <w:top w:type="dxa" w:w="80"/>
              <w:left w:type="dxa" w:w="120"/>
              <w:bottom w:type="dxa" w:w="80"/>
              <w:right w:type="dxa" w:w="120"/>
            </w:tcMar>
          </w:tcPr>
          <w:p>
            <w:r>
              <w:rPr>
                <w:sz w:val="20"/>
                <w:szCs w:val="20"/>
              </w:rPr>
              <w:t xml:space="preserve">Branded Boat Booth activation across 9 events</w:t>
            </w:r>
          </w:p>
        </w:tc>
      </w:tr>
      <w:tr>
        <w:tc>
          <w:tcPr>
            <w:tcW w:type="dxa" w:w="2500"/>
            <w:tcBorders>
              <w:top w:val="none"/>
              <w:left w:val="none"/>
              <w:bottom w:val="none"/>
              <w:right w:val="none"/>
            </w:tcBorders>
            <w:tcMar>
              <w:top w:type="dxa" w:w="80"/>
              <w:left w:type="dxa" w:w="120"/>
              <w:bottom w:type="dxa" w:w="80"/>
              <w:right w:type="dxa" w:w="120"/>
            </w:tcMar>
          </w:tcPr>
          <w:p>
            <w:r>
              <w:rPr>
                <w:b/>
                <w:bCs/>
                <w:color w:val="1C2230"/>
                <w:sz w:val="20"/>
                <w:szCs w:val="20"/>
              </w:rPr>
              <w:t xml:space="preserve">Reference</w:t>
            </w:r>
          </w:p>
        </w:tc>
        <w:tc>
          <w:tcPr>
            <w:tcW w:type="dxa" w:w="6860"/>
            <w:tcBorders>
              <w:top w:val="none"/>
              <w:left w:val="none"/>
              <w:bottom w:val="none"/>
              <w:right w:val="none"/>
            </w:tcBorders>
            <w:tcMar>
              <w:top w:type="dxa" w:w="80"/>
              <w:left w:type="dxa" w:w="120"/>
              <w:bottom w:type="dxa" w:w="80"/>
              <w:right w:type="dxa" w:w="120"/>
            </w:tcMar>
          </w:tcPr>
          <w:p>
            <w:r>
              <w:rPr>
                <w:sz w:val="20"/>
                <w:szCs w:val="20"/>
              </w:rPr>
              <w:t xml:space="preserve">boatapp.requisor.io</w:t>
            </w:r>
          </w:p>
        </w:tc>
      </w:tr>
      <w:tr>
        <w:tc>
          <w:tcPr>
            <w:tcW w:type="dxa" w:w="2500"/>
            <w:tcBorders>
              <w:top w:val="none"/>
              <w:left w:val="none"/>
              <w:bottom w:val="none"/>
              <w:right w:val="none"/>
            </w:tcBorders>
            <w:tcMar>
              <w:top w:type="dxa" w:w="80"/>
              <w:left w:type="dxa" w:w="120"/>
              <w:bottom w:type="dxa" w:w="80"/>
              <w:right w:type="dxa" w:w="120"/>
            </w:tcMar>
          </w:tcPr>
          <w:p>
            <w:r>
              <w:rPr>
                <w:b/>
                <w:bCs/>
                <w:color w:val="1C2230"/>
                <w:sz w:val="20"/>
                <w:szCs w:val="20"/>
              </w:rPr>
              <w:t xml:space="preserve">Date</w:t>
            </w:r>
          </w:p>
        </w:tc>
        <w:tc>
          <w:tcPr>
            <w:tcW w:type="dxa" w:w="6860"/>
            <w:tcBorders>
              <w:top w:val="none"/>
              <w:left w:val="none"/>
              <w:bottom w:val="none"/>
              <w:right w:val="none"/>
            </w:tcBorders>
            <w:tcMar>
              <w:top w:type="dxa" w:w="80"/>
              <w:left w:type="dxa" w:w="120"/>
              <w:bottom w:type="dxa" w:w="80"/>
              <w:right w:type="dxa" w:w="120"/>
            </w:tcMar>
          </w:tcPr>
          <w:p>
            <w:r>
              <w:rPr>
                <w:sz w:val="20"/>
                <w:szCs w:val="20"/>
              </w:rPr>
              <w:t xml:space="preserve">[Effective Date]</w:t>
            </w:r>
          </w:p>
        </w:tc>
      </w:tr>
      <w:tr>
        <w:tc>
          <w:tcPr>
            <w:tcW w:type="dxa" w:w="2500"/>
            <w:tcBorders>
              <w:top w:val="none"/>
              <w:left w:val="none"/>
              <w:bottom w:val="none"/>
              <w:right w:val="none"/>
            </w:tcBorders>
            <w:tcMar>
              <w:top w:type="dxa" w:w="80"/>
              <w:left w:type="dxa" w:w="120"/>
              <w:bottom w:type="dxa" w:w="80"/>
              <w:right w:type="dxa" w:w="120"/>
            </w:tcMar>
          </w:tcPr>
          <w:p>
            <w:r>
              <w:rPr>
                <w:b/>
                <w:bCs/>
                <w:color w:val="1C2230"/>
                <w:sz w:val="20"/>
                <w:szCs w:val="20"/>
              </w:rPr>
              <w:t xml:space="preserve">Valid through</w:t>
            </w:r>
          </w:p>
        </w:tc>
        <w:tc>
          <w:tcPr>
            <w:tcW w:type="dxa" w:w="6860"/>
            <w:tcBorders>
              <w:top w:val="none"/>
              <w:left w:val="none"/>
              <w:bottom w:val="none"/>
              <w:right w:val="none"/>
            </w:tcBorders>
            <w:tcMar>
              <w:top w:type="dxa" w:w="80"/>
              <w:left w:type="dxa" w:w="120"/>
              <w:bottom w:type="dxa" w:w="80"/>
              <w:right w:type="dxa" w:w="120"/>
            </w:tcMar>
          </w:tcPr>
          <w:p>
            <w:r>
              <w:rPr>
                <w:sz w:val="20"/>
                <w:szCs w:val="20"/>
              </w:rPr>
              <w:t xml:space="preserve">[30 days from issue]</w:t>
            </w:r>
          </w:p>
        </w:tc>
      </w:tr>
    </w:tbl>
    <w:p>
      <w:pPr>
        <w:spacing w:before="120"/>
      </w:pPr>
      <w:r>
        <w:br w:type="page"/>
      </w:r>
    </w:p>
    <w:p>
      <w:pPr>
        <w:pStyle w:val="Heading1"/>
      </w:pPr>
      <w:r>
        <w:t xml:space="preserve">1.  Engagement Overview</w:t>
      </w:r>
    </w:p>
    <w:p>
      <w:pPr>
        <w:spacing w:after="140" w:line="276"/>
        <w:jc w:val="left"/>
      </w:pPr>
      <w:r>
        <w:rPr>
          <w:sz w:val="22"/>
          <w:szCs w:val="22"/>
        </w:rPr>
        <w:t xml:space="preserve">Citrus Innovations Inc, doing business as Requisor AI (“Provider”), will deliver a branded, turnkey “Boat Booth” experiential activation for Peak Technologies (“Client”) to deploy on behalf of its end client, the National Marine Manufacturers Association (“NMMA”), across nine (9) events.</w:t>
      </w:r>
    </w:p>
    <w:p>
      <w:pPr>
        <w:spacing w:after="140" w:line="276"/>
        <w:jc w:val="left"/>
      </w:pPr>
      <w:r>
        <w:rPr>
          <w:sz w:val="22"/>
          <w:szCs w:val="22"/>
        </w:rPr>
        <w:t xml:space="preserve">Boat Booth is an on-site, AI-augmented activation comprising an AI Photo Wall and AI-generated short-form videos. Attendees capture content at the activation; the platform produces branded, share-ready photo and video outputs in near real time. For each event, Provider configures a dedicated branded instance using Client-supplied brand assets.</w:t>
      </w:r>
    </w:p>
    <w:p>
      <w:pPr>
        <w:spacing w:after="140" w:line="276"/>
        <w:jc w:val="left"/>
      </w:pPr>
      <w:r>
        <w:rPr>
          <w:sz w:val="22"/>
          <w:szCs w:val="22"/>
        </w:rPr>
        <w:t xml:space="preserve">This document combines a commercial proposal and a Statement of Work (“SOW”). Upon signature it forms the agreement between the parties for the work described herein.</w:t>
      </w:r>
    </w:p>
    <w:p>
      <w:pPr>
        <w:pStyle w:val="Heading1"/>
      </w:pPr>
      <w:r>
        <w:t xml:space="preserve">2.  Scope of Work</w:t>
      </w:r>
    </w:p>
    <w:p>
      <w:pPr>
        <w:pStyle w:val="Heading2"/>
      </w:pPr>
      <w:r>
        <w:t xml:space="preserve">2.1  The Boat Booth Activation</w:t>
      </w:r>
    </w:p>
    <w:p>
      <w:pPr>
        <w:spacing w:after="140" w:line="276"/>
        <w:jc w:val="left"/>
      </w:pPr>
      <w:r>
        <w:rPr>
          <w:sz w:val="22"/>
          <w:szCs w:val="22"/>
        </w:rPr>
        <w:t xml:space="preserve">For each of the nine events, Provider will deliver a hosted, branded Boat Booth instance including:</w:t>
      </w:r>
    </w:p>
    <w:p>
      <w:pPr>
        <w:pStyle w:val="ListParagraph"/>
        <w:numPr>
          <w:ilvl w:val="0"/>
          <w:numId w:val="2"/>
        </w:numPr>
        <w:spacing w:after="80" w:line="270"/>
      </w:pPr>
      <w:r>
        <w:rPr>
          <w:sz w:val="22"/>
          <w:szCs w:val="22"/>
        </w:rPr>
        <w:t xml:space="preserve">An AI Photo Wall presenting AI-augmented generated content derived from on-site captures.</w:t>
      </w:r>
    </w:p>
    <w:p>
      <w:pPr>
        <w:pStyle w:val="ListParagraph"/>
        <w:numPr>
          <w:ilvl w:val="0"/>
          <w:numId w:val="2"/>
        </w:numPr>
        <w:spacing w:after="80" w:line="270"/>
      </w:pPr>
      <w:r>
        <w:rPr>
          <w:sz w:val="22"/>
          <w:szCs w:val="22"/>
        </w:rPr>
        <w:t xml:space="preserve">AI-generated short-form videos produced from on-site captures, formatted for on-screen display and attendee sharing.</w:t>
      </w:r>
    </w:p>
    <w:p>
      <w:pPr>
        <w:pStyle w:val="ListParagraph"/>
        <w:numPr>
          <w:ilvl w:val="0"/>
          <w:numId w:val="2"/>
        </w:numPr>
        <w:spacing w:after="80" w:line="270"/>
      </w:pPr>
      <w:r>
        <w:rPr>
          <w:sz w:val="22"/>
          <w:szCs w:val="22"/>
        </w:rPr>
        <w:t xml:space="preserve">A branded experience reflecting the approved color and logo configuration for the applicable event.</w:t>
      </w:r>
    </w:p>
    <w:p>
      <w:pPr>
        <w:pStyle w:val="ListParagraph"/>
        <w:numPr>
          <w:ilvl w:val="0"/>
          <w:numId w:val="2"/>
        </w:numPr>
        <w:spacing w:after="80" w:line="270"/>
      </w:pPr>
      <w:r>
        <w:rPr>
          <w:sz w:val="22"/>
          <w:szCs w:val="22"/>
        </w:rPr>
        <w:t xml:space="preserve">Platform hosting and availability for the duration of each scheduled activation window.</w:t>
      </w:r>
    </w:p>
    <w:p>
      <w:pPr>
        <w:pStyle w:val="Heading2"/>
      </w:pPr>
      <w:r>
        <w:t xml:space="preserve">2.2  Customization &amp; Branding</w:t>
      </w:r>
    </w:p>
    <w:p>
      <w:pPr>
        <w:spacing w:after="140" w:line="276"/>
        <w:jc w:val="left"/>
      </w:pPr>
      <w:r>
        <w:rPr>
          <w:sz w:val="22"/>
          <w:szCs w:val="22"/>
        </w:rPr>
        <w:t xml:space="preserve">Customization for each event is limited to </w:t>
      </w:r>
      <w:r>
        <w:rPr>
          <w:b/>
          <w:bCs/>
          <w:sz w:val="22"/>
          <w:szCs w:val="22"/>
        </w:rPr>
        <w:t xml:space="preserve">color and logo only</w:t>
      </w:r>
      <w:r>
        <w:rPr>
          <w:sz w:val="22"/>
          <w:szCs w:val="22"/>
        </w:rPr>
        <w:t xml:space="preserve">, applied to a predefined Boat Booth template. All brand assets, color values, and logo files are to be supplied by Client and agreed in writing before configuration begins.</w:t>
      </w:r>
    </w:p>
    <w:p>
      <w:pPr>
        <w:pStyle w:val="ListParagraph"/>
        <w:numPr>
          <w:ilvl w:val="0"/>
          <w:numId w:val="2"/>
        </w:numPr>
        <w:spacing w:after="80" w:line="270"/>
      </w:pPr>
      <w:r>
        <w:rPr>
          <w:sz w:val="22"/>
          <w:szCs w:val="22"/>
        </w:rPr>
        <w:t xml:space="preserve">Color application is limited to the template’s defined brand-color slots.</w:t>
      </w:r>
    </w:p>
    <w:p>
      <w:pPr>
        <w:pStyle w:val="ListParagraph"/>
        <w:numPr>
          <w:ilvl w:val="0"/>
          <w:numId w:val="2"/>
        </w:numPr>
        <w:spacing w:after="80" w:line="270"/>
      </w:pPr>
      <w:r>
        <w:rPr>
          <w:sz w:val="22"/>
          <w:szCs w:val="22"/>
        </w:rPr>
        <w:t xml:space="preserve">Logo placement uses the predefined logo slots in the template.</w:t>
      </w:r>
    </w:p>
    <w:p>
      <w:pPr>
        <w:pStyle w:val="ListParagraph"/>
        <w:numPr>
          <w:ilvl w:val="0"/>
          <w:numId w:val="2"/>
        </w:numPr>
        <w:spacing w:after="80" w:line="270"/>
      </w:pPr>
      <w:r>
        <w:rPr>
          <w:sz w:val="22"/>
          <w:szCs w:val="22"/>
        </w:rPr>
        <w:t xml:space="preserve">Assets must be provided in usable formats (see Section 5). Provider does not create, redraw, or recolor logos or brand assets.</w:t>
      </w:r>
    </w:p>
    <w:p>
      <w:pPr>
        <w:spacing w:after="140" w:line="276"/>
        <w:jc w:val="left"/>
      </w:pPr>
      <w:r>
        <w:rPr>
          <w:i/>
          <w:iCs/>
          <w:color w:val="5A6472"/>
          <w:sz w:val="22"/>
          <w:szCs w:val="22"/>
        </w:rPr>
        <w:t xml:space="preserve">No layout changes, new templates, custom visual effects, custom AI prompts/models, additional output formats, or feature development are included. Such items are out of scope (Section 6) and addressed via change order.</w:t>
      </w:r>
    </w:p>
    <w:p>
      <w:pPr>
        <w:pStyle w:val="Heading2"/>
      </w:pPr>
      <w:r>
        <w:t xml:space="preserve">2.3  Volume &amp; Capacity</w:t>
      </w:r>
    </w:p>
    <w:p>
      <w:pPr>
        <w:spacing w:after="140" w:line="276"/>
        <w:jc w:val="left"/>
      </w:pPr>
      <w:r>
        <w:rPr>
          <w:sz w:val="22"/>
          <w:szCs w:val="22"/>
        </w:rPr>
        <w:t xml:space="preserve">Each activation event includes generation of up to </w:t>
      </w:r>
      <w:r>
        <w:rPr>
          <w:b/>
          <w:bCs/>
          <w:sz w:val="22"/>
          <w:szCs w:val="22"/>
        </w:rPr>
        <w:t xml:space="preserve">two hundred fifty (250) AI-generated videos</w:t>
      </w:r>
      <w:r>
        <w:rPr>
          <w:sz w:val="22"/>
          <w:szCs w:val="22"/>
        </w:rPr>
        <w:t xml:space="preserve">. The 250-video cap applies per activation event and does not roll over between events. AI Photo Wall captures are supported throughout each activation window within the platform’s normal operating capacity.</w:t>
      </w:r>
    </w:p>
    <w:p>
      <w:pPr>
        <w:spacing w:after="140" w:line="276"/>
        <w:jc w:val="left"/>
      </w:pPr>
      <w:r>
        <w:rPr>
          <w:i/>
          <w:iCs/>
          <w:color w:val="5A6472"/>
          <w:sz w:val="22"/>
          <w:szCs w:val="22"/>
        </w:rPr>
        <w:t xml:space="preserve">Demand beyond 250 videos at any single event may be accommodated by prior written agreement and is billed as an overage at the rate set out in Section 7.</w:t>
      </w:r>
    </w:p>
    <w:p>
      <w:pPr>
        <w:pStyle w:val="Heading1"/>
      </w:pPr>
      <w:r>
        <w:t xml:space="preserve">3.  Event Schedule</w:t>
      </w:r>
    </w:p>
    <w:p>
      <w:pPr>
        <w:spacing w:after="140" w:line="276"/>
        <w:jc w:val="left"/>
      </w:pPr>
      <w:r>
        <w:rPr>
          <w:sz w:val="22"/>
          <w:szCs w:val="22"/>
        </w:rPr>
        <w:t xml:space="preserve">The engagement covers the nine (9) events below. Specific event names, locations, and dates to be confirmed by Client in writing. Activation configuration follows the intake and lock timeline in Section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40"/>
        <w:gridCol w:w="2500"/>
        <w:gridCol w:w="2500"/>
      </w:tblGrid>
      <w:tr>
        <w:trPr>
          <w:tblHeader/>
        </w:trPr>
        <w:tc>
          <w:tcPr>
            <w:tcW w:type="dxa" w:w="720"/>
            <w:tcBorders>
              <w:top w:val="single" w:color="D9DEE6" w:sz="1"/>
              <w:left w:val="single" w:color="D9DEE6" w:sz="1"/>
              <w:bottom w:val="single" w:color="D9DEE6" w:sz="1"/>
              <w:right w:val="single" w:color="D9DEE6" w:sz="1"/>
            </w:tcBorders>
            <w:shd w:fill="1C2230" w:val="clear"/>
            <w:tcMar>
              <w:top w:type="dxa" w:w="80"/>
              <w:left w:type="dxa" w:w="120"/>
              <w:bottom w:type="dxa" w:w="80"/>
              <w:right w:type="dxa" w:w="120"/>
            </w:tcMar>
            <w:vAlign w:val="center"/>
          </w:tcPr>
          <w:p>
            <w:r>
              <w:rPr>
                <w:b/>
                <w:bCs/>
                <w:color w:val="FFFFFF"/>
                <w:sz w:val="20"/>
                <w:szCs w:val="20"/>
              </w:rPr>
              <w:t xml:space="preserve">#</w:t>
            </w:r>
          </w:p>
        </w:tc>
        <w:tc>
          <w:tcPr>
            <w:tcW w:type="dxa" w:w="3640"/>
            <w:tcBorders>
              <w:top w:val="single" w:color="D9DEE6" w:sz="1"/>
              <w:left w:val="single" w:color="D9DEE6" w:sz="1"/>
              <w:bottom w:val="single" w:color="D9DEE6" w:sz="1"/>
              <w:right w:val="single" w:color="D9DEE6" w:sz="1"/>
            </w:tcBorders>
            <w:shd w:fill="1C2230" w:val="clear"/>
            <w:tcMar>
              <w:top w:type="dxa" w:w="80"/>
              <w:left w:type="dxa" w:w="120"/>
              <w:bottom w:type="dxa" w:w="80"/>
              <w:right w:type="dxa" w:w="120"/>
            </w:tcMar>
            <w:vAlign w:val="center"/>
          </w:tcPr>
          <w:p>
            <w:r>
              <w:rPr>
                <w:b/>
                <w:bCs/>
                <w:color w:val="FFFFFF"/>
                <w:sz w:val="20"/>
                <w:szCs w:val="20"/>
              </w:rPr>
              <w:t xml:space="preserve">Event / Show</w:t>
            </w:r>
          </w:p>
        </w:tc>
        <w:tc>
          <w:tcPr>
            <w:tcW w:type="dxa" w:w="2500"/>
            <w:tcBorders>
              <w:top w:val="single" w:color="D9DEE6" w:sz="1"/>
              <w:left w:val="single" w:color="D9DEE6" w:sz="1"/>
              <w:bottom w:val="single" w:color="D9DEE6" w:sz="1"/>
              <w:right w:val="single" w:color="D9DEE6" w:sz="1"/>
            </w:tcBorders>
            <w:shd w:fill="1C2230" w:val="clear"/>
            <w:tcMar>
              <w:top w:type="dxa" w:w="80"/>
              <w:left w:type="dxa" w:w="120"/>
              <w:bottom w:type="dxa" w:w="80"/>
              <w:right w:type="dxa" w:w="120"/>
            </w:tcMar>
            <w:vAlign w:val="center"/>
          </w:tcPr>
          <w:p>
            <w:r>
              <w:rPr>
                <w:b/>
                <w:bCs/>
                <w:color w:val="FFFFFF"/>
                <w:sz w:val="20"/>
                <w:szCs w:val="20"/>
              </w:rPr>
              <w:t xml:space="preserve">Location</w:t>
            </w:r>
          </w:p>
        </w:tc>
        <w:tc>
          <w:tcPr>
            <w:tcW w:type="dxa" w:w="2500"/>
            <w:tcBorders>
              <w:top w:val="single" w:color="D9DEE6" w:sz="1"/>
              <w:left w:val="single" w:color="D9DEE6" w:sz="1"/>
              <w:bottom w:val="single" w:color="D9DEE6" w:sz="1"/>
              <w:right w:val="single" w:color="D9DEE6" w:sz="1"/>
            </w:tcBorders>
            <w:shd w:fill="1C2230" w:val="clear"/>
            <w:tcMar>
              <w:top w:type="dxa" w:w="80"/>
              <w:left w:type="dxa" w:w="120"/>
              <w:bottom w:type="dxa" w:w="80"/>
              <w:right w:type="dxa" w:w="120"/>
            </w:tcMar>
            <w:vAlign w:val="center"/>
          </w:tcPr>
          <w:p>
            <w:r>
              <w:rPr>
                <w:b/>
                <w:bCs/>
                <w:color w:val="FFFFFF"/>
                <w:sz w:val="20"/>
                <w:szCs w:val="20"/>
              </w:rPr>
              <w:t xml:space="preserve">Event Dates</w:t>
            </w:r>
          </w:p>
        </w:tc>
      </w:tr>
      <w:tr>
        <w:tc>
          <w:tcPr>
            <w:tcW w:type="dxa" w:w="720"/>
            <w:tcBorders>
              <w:top w:val="single" w:color="D9DEE6" w:sz="1"/>
              <w:left w:val="single" w:color="D9DEE6" w:sz="1"/>
              <w:bottom w:val="single" w:color="D9DEE6" w:sz="1"/>
              <w:right w:val="single" w:color="D9DEE6"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w:t>
            </w:r>
          </w:p>
        </w:tc>
        <w:tc>
          <w:tcPr>
            <w:tcW w:type="dxa" w:w="3640"/>
            <w:tcBorders>
              <w:top w:val="single" w:color="D9DEE6" w:sz="1"/>
              <w:left w:val="single" w:color="D9DEE6" w:sz="1"/>
              <w:bottom w:val="single" w:color="D9DEE6" w:sz="1"/>
              <w:right w:val="single" w:color="D9DEE6"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[Event 1]</w:t>
            </w:r>
          </w:p>
        </w:tc>
        <w:tc>
          <w:tcPr>
            <w:tcW w:type="dxa" w:w="2500"/>
            <w:tcBorders>
              <w:top w:val="single" w:color="D9DEE6" w:sz="1"/>
              <w:left w:val="single" w:color="D9DEE6" w:sz="1"/>
              <w:bottom w:val="single" w:color="D9DEE6" w:sz="1"/>
              <w:right w:val="single" w:color="D9DEE6"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[City, ST]</w:t>
            </w:r>
          </w:p>
        </w:tc>
        <w:tc>
          <w:tcPr>
            <w:tcW w:type="dxa" w:w="2500"/>
            <w:tcBorders>
              <w:top w:val="single" w:color="D9DEE6" w:sz="1"/>
              <w:left w:val="single" w:color="D9DEE6" w:sz="1"/>
              <w:bottom w:val="single" w:color="D9DEE6" w:sz="1"/>
              <w:right w:val="single" w:color="D9DEE6"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[MM/DD–MM/DD/YYYY]</w:t>
            </w:r>
          </w:p>
        </w:tc>
      </w:tr>
      <w:tr>
        <w:tc>
          <w:tcPr>
            <w:tcW w:type="dxa" w:w="720"/>
            <w:tcBorders>
              <w:top w:val="single" w:color="D9DEE6" w:sz="1"/>
              <w:left w:val="single" w:color="D9DEE6" w:sz="1"/>
              <w:bottom w:val="single" w:color="D9DEE6" w:sz="1"/>
              <w:right w:val="single" w:color="D9DEE6" w:sz="1"/>
            </w:tcBorders>
            <w:shd w:fill="EAF8F1" w:val="clear"/>
            <w:tcMar>
              <w:top w:type="dxa" w:w="80"/>
              <w:left w:type="dxa" w:w="120"/>
              <w:bottom w:type="dxa" w:w="80"/>
              <w:right w:type="dxa" w:w="120"/>
            </w:tcMar>
            <w:vAlign w:val="center"/>
          </w:tcPr>
          <w:p>
            <w:pPr>
              <w:jc w:val="center"/>
            </w:pPr>
            <w:r>
              <w:rPr>
                <w:b w:val="false"/>
                <w:bCs w:val="false"/>
                <w:color w:val="000000"/>
                <w:sz w:val="20"/>
                <w:szCs w:val="20"/>
              </w:rPr>
              <w:t xml:space="preserve">2</w:t>
            </w:r>
          </w:p>
        </w:tc>
        <w:tc>
          <w:tcPr>
            <w:tcW w:type="dxa" w:w="3640"/>
            <w:tcBorders>
              <w:top w:val="single" w:color="D9DEE6" w:sz="1"/>
              <w:left w:val="single" w:color="D9DEE6" w:sz="1"/>
              <w:bottom w:val="single" w:color="D9DEE6" w:sz="1"/>
              <w:right w:val="single" w:color="D9DEE6" w:sz="1"/>
            </w:tcBorders>
            <w:shd w:fill="EAF8F1" w:val="clear"/>
            <w:tcMar>
              <w:top w:type="dxa" w:w="80"/>
              <w:left w:type="dxa" w:w="120"/>
              <w:bottom w:type="dxa" w:w="80"/>
              <w:right w:type="dxa" w:w="120"/>
            </w:tcMar>
            <w:vAlign w:val="center"/>
          </w:tcPr>
          <w:p>
            <w:pPr>
              <w:jc w:val="left"/>
            </w:pPr>
            <w:r>
              <w:rPr>
                <w:b w:val="false"/>
                <w:bCs w:val="false"/>
                <w:color w:val="000000"/>
                <w:sz w:val="20"/>
                <w:szCs w:val="20"/>
              </w:rPr>
              <w:t xml:space="preserve">[Event 2]</w:t>
            </w:r>
          </w:p>
        </w:tc>
        <w:tc>
          <w:tcPr>
            <w:tcW w:type="dxa" w:w="2500"/>
            <w:tcBorders>
              <w:top w:val="single" w:color="D9DEE6" w:sz="1"/>
              <w:left w:val="single" w:color="D9DEE6" w:sz="1"/>
              <w:bottom w:val="single" w:color="D9DEE6" w:sz="1"/>
              <w:right w:val="single" w:color="D9DEE6" w:sz="1"/>
            </w:tcBorders>
            <w:shd w:fill="EAF8F1" w:val="clear"/>
            <w:tcMar>
              <w:top w:type="dxa" w:w="80"/>
              <w:left w:type="dxa" w:w="120"/>
              <w:bottom w:type="dxa" w:w="80"/>
              <w:right w:type="dxa" w:w="120"/>
            </w:tcMar>
            <w:vAlign w:val="center"/>
          </w:tcPr>
          <w:p>
            <w:pPr>
              <w:jc w:val="left"/>
            </w:pPr>
            <w:r>
              <w:rPr>
                <w:b w:val="false"/>
                <w:bCs w:val="false"/>
                <w:color w:val="000000"/>
                <w:sz w:val="20"/>
                <w:szCs w:val="20"/>
              </w:rPr>
              <w:t xml:space="preserve">[City, ST]</w:t>
            </w:r>
          </w:p>
        </w:tc>
        <w:tc>
          <w:tcPr>
            <w:tcW w:type="dxa" w:w="2500"/>
            <w:tcBorders>
              <w:top w:val="single" w:color="D9DEE6" w:sz="1"/>
              <w:left w:val="single" w:color="D9DEE6" w:sz="1"/>
              <w:bottom w:val="single" w:color="D9DEE6" w:sz="1"/>
              <w:right w:val="single" w:color="D9DEE6" w:sz="1"/>
            </w:tcBorders>
            <w:shd w:fill="EAF8F1" w:val="clear"/>
            <w:tcMar>
              <w:top w:type="dxa" w:w="80"/>
              <w:left w:type="dxa" w:w="120"/>
              <w:bottom w:type="dxa" w:w="80"/>
              <w:right w:type="dxa" w:w="120"/>
            </w:tcMar>
            <w:vAlign w:val="center"/>
          </w:tcPr>
          <w:p>
            <w:pPr>
              <w:jc w:val="left"/>
            </w:pPr>
            <w:r>
              <w:rPr>
                <w:b w:val="false"/>
                <w:bCs w:val="false"/>
                <w:color w:val="000000"/>
                <w:sz w:val="20"/>
                <w:szCs w:val="20"/>
              </w:rPr>
              <w:t xml:space="preserve">[MM/DD–MM/DD/YYYY]</w:t>
            </w:r>
          </w:p>
        </w:tc>
      </w:tr>
      <w:tr>
        <w:tc>
          <w:tcPr>
            <w:tcW w:type="dxa" w:w="720"/>
            <w:tcBorders>
              <w:top w:val="single" w:color="D9DEE6" w:sz="1"/>
              <w:left w:val="single" w:color="D9DEE6" w:sz="1"/>
              <w:bottom w:val="single" w:color="D9DEE6" w:sz="1"/>
              <w:right w:val="single" w:color="D9DEE6"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3</w:t>
            </w:r>
          </w:p>
        </w:tc>
        <w:tc>
          <w:tcPr>
            <w:tcW w:type="dxa" w:w="3640"/>
            <w:tcBorders>
              <w:top w:val="single" w:color="D9DEE6" w:sz="1"/>
              <w:left w:val="single" w:color="D9DEE6" w:sz="1"/>
              <w:bottom w:val="single" w:color="D9DEE6" w:sz="1"/>
              <w:right w:val="single" w:color="D9DEE6"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[Event 3]</w:t>
            </w:r>
          </w:p>
        </w:tc>
        <w:tc>
          <w:tcPr>
            <w:tcW w:type="dxa" w:w="2500"/>
            <w:tcBorders>
              <w:top w:val="single" w:color="D9DEE6" w:sz="1"/>
              <w:left w:val="single" w:color="D9DEE6" w:sz="1"/>
              <w:bottom w:val="single" w:color="D9DEE6" w:sz="1"/>
              <w:right w:val="single" w:color="D9DEE6"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[City, ST]</w:t>
            </w:r>
          </w:p>
        </w:tc>
        <w:tc>
          <w:tcPr>
            <w:tcW w:type="dxa" w:w="2500"/>
            <w:tcBorders>
              <w:top w:val="single" w:color="D9DEE6" w:sz="1"/>
              <w:left w:val="single" w:color="D9DEE6" w:sz="1"/>
              <w:bottom w:val="single" w:color="D9DEE6" w:sz="1"/>
              <w:right w:val="single" w:color="D9DEE6"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[MM/DD–MM/DD/YYYY]</w:t>
            </w:r>
          </w:p>
        </w:tc>
      </w:tr>
      <w:tr>
        <w:tc>
          <w:tcPr>
            <w:tcW w:type="dxa" w:w="720"/>
            <w:tcBorders>
              <w:top w:val="single" w:color="D9DEE6" w:sz="1"/>
              <w:left w:val="single" w:color="D9DEE6" w:sz="1"/>
              <w:bottom w:val="single" w:color="D9DEE6" w:sz="1"/>
              <w:right w:val="single" w:color="D9DEE6" w:sz="1"/>
            </w:tcBorders>
            <w:shd w:fill="EAF8F1" w:val="clear"/>
            <w:tcMar>
              <w:top w:type="dxa" w:w="80"/>
              <w:left w:type="dxa" w:w="120"/>
              <w:bottom w:type="dxa" w:w="80"/>
              <w:right w:type="dxa" w:w="120"/>
            </w:tcMar>
            <w:vAlign w:val="center"/>
          </w:tcPr>
          <w:p>
            <w:pPr>
              <w:jc w:val="center"/>
            </w:pPr>
            <w:r>
              <w:rPr>
                <w:b w:val="false"/>
                <w:bCs w:val="false"/>
                <w:color w:val="000000"/>
                <w:sz w:val="20"/>
                <w:szCs w:val="20"/>
              </w:rPr>
              <w:t xml:space="preserve">4</w:t>
            </w:r>
          </w:p>
        </w:tc>
        <w:tc>
          <w:tcPr>
            <w:tcW w:type="dxa" w:w="3640"/>
            <w:tcBorders>
              <w:top w:val="single" w:color="D9DEE6" w:sz="1"/>
              <w:left w:val="single" w:color="D9DEE6" w:sz="1"/>
              <w:bottom w:val="single" w:color="D9DEE6" w:sz="1"/>
              <w:right w:val="single" w:color="D9DEE6" w:sz="1"/>
            </w:tcBorders>
            <w:shd w:fill="EAF8F1" w:val="clear"/>
            <w:tcMar>
              <w:top w:type="dxa" w:w="80"/>
              <w:left w:type="dxa" w:w="120"/>
              <w:bottom w:type="dxa" w:w="80"/>
              <w:right w:type="dxa" w:w="120"/>
            </w:tcMar>
            <w:vAlign w:val="center"/>
          </w:tcPr>
          <w:p>
            <w:pPr>
              <w:jc w:val="left"/>
            </w:pPr>
            <w:r>
              <w:rPr>
                <w:b w:val="false"/>
                <w:bCs w:val="false"/>
                <w:color w:val="000000"/>
                <w:sz w:val="20"/>
                <w:szCs w:val="20"/>
              </w:rPr>
              <w:t xml:space="preserve">[Event 4]</w:t>
            </w:r>
          </w:p>
        </w:tc>
        <w:tc>
          <w:tcPr>
            <w:tcW w:type="dxa" w:w="2500"/>
            <w:tcBorders>
              <w:top w:val="single" w:color="D9DEE6" w:sz="1"/>
              <w:left w:val="single" w:color="D9DEE6" w:sz="1"/>
              <w:bottom w:val="single" w:color="D9DEE6" w:sz="1"/>
              <w:right w:val="single" w:color="D9DEE6" w:sz="1"/>
            </w:tcBorders>
            <w:shd w:fill="EAF8F1" w:val="clear"/>
            <w:tcMar>
              <w:top w:type="dxa" w:w="80"/>
              <w:left w:type="dxa" w:w="120"/>
              <w:bottom w:type="dxa" w:w="80"/>
              <w:right w:type="dxa" w:w="120"/>
            </w:tcMar>
            <w:vAlign w:val="center"/>
          </w:tcPr>
          <w:p>
            <w:pPr>
              <w:jc w:val="left"/>
            </w:pPr>
            <w:r>
              <w:rPr>
                <w:b w:val="false"/>
                <w:bCs w:val="false"/>
                <w:color w:val="000000"/>
                <w:sz w:val="20"/>
                <w:szCs w:val="20"/>
              </w:rPr>
              <w:t xml:space="preserve">[City, ST]</w:t>
            </w:r>
          </w:p>
        </w:tc>
        <w:tc>
          <w:tcPr>
            <w:tcW w:type="dxa" w:w="2500"/>
            <w:tcBorders>
              <w:top w:val="single" w:color="D9DEE6" w:sz="1"/>
              <w:left w:val="single" w:color="D9DEE6" w:sz="1"/>
              <w:bottom w:val="single" w:color="D9DEE6" w:sz="1"/>
              <w:right w:val="single" w:color="D9DEE6" w:sz="1"/>
            </w:tcBorders>
            <w:shd w:fill="EAF8F1" w:val="clear"/>
            <w:tcMar>
              <w:top w:type="dxa" w:w="80"/>
              <w:left w:type="dxa" w:w="120"/>
              <w:bottom w:type="dxa" w:w="80"/>
              <w:right w:type="dxa" w:w="120"/>
            </w:tcMar>
            <w:vAlign w:val="center"/>
          </w:tcPr>
          <w:p>
            <w:pPr>
              <w:jc w:val="left"/>
            </w:pPr>
            <w:r>
              <w:rPr>
                <w:b w:val="false"/>
                <w:bCs w:val="false"/>
                <w:color w:val="000000"/>
                <w:sz w:val="20"/>
                <w:szCs w:val="20"/>
              </w:rPr>
              <w:t xml:space="preserve">[MM/DD–MM/DD/YYYY]</w:t>
            </w:r>
          </w:p>
        </w:tc>
      </w:tr>
      <w:tr>
        <w:tc>
          <w:tcPr>
            <w:tcW w:type="dxa" w:w="720"/>
            <w:tcBorders>
              <w:top w:val="single" w:color="D9DEE6" w:sz="1"/>
              <w:left w:val="single" w:color="D9DEE6" w:sz="1"/>
              <w:bottom w:val="single" w:color="D9DEE6" w:sz="1"/>
              <w:right w:val="single" w:color="D9DEE6"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5</w:t>
            </w:r>
          </w:p>
        </w:tc>
        <w:tc>
          <w:tcPr>
            <w:tcW w:type="dxa" w:w="3640"/>
            <w:tcBorders>
              <w:top w:val="single" w:color="D9DEE6" w:sz="1"/>
              <w:left w:val="single" w:color="D9DEE6" w:sz="1"/>
              <w:bottom w:val="single" w:color="D9DEE6" w:sz="1"/>
              <w:right w:val="single" w:color="D9DEE6"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[Event 5]</w:t>
            </w:r>
          </w:p>
        </w:tc>
        <w:tc>
          <w:tcPr>
            <w:tcW w:type="dxa" w:w="2500"/>
            <w:tcBorders>
              <w:top w:val="single" w:color="D9DEE6" w:sz="1"/>
              <w:left w:val="single" w:color="D9DEE6" w:sz="1"/>
              <w:bottom w:val="single" w:color="D9DEE6" w:sz="1"/>
              <w:right w:val="single" w:color="D9DEE6"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[City, ST]</w:t>
            </w:r>
          </w:p>
        </w:tc>
        <w:tc>
          <w:tcPr>
            <w:tcW w:type="dxa" w:w="2500"/>
            <w:tcBorders>
              <w:top w:val="single" w:color="D9DEE6" w:sz="1"/>
              <w:left w:val="single" w:color="D9DEE6" w:sz="1"/>
              <w:bottom w:val="single" w:color="D9DEE6" w:sz="1"/>
              <w:right w:val="single" w:color="D9DEE6"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[MM/DD–MM/DD/YYYY]</w:t>
            </w:r>
          </w:p>
        </w:tc>
      </w:tr>
      <w:tr>
        <w:tc>
          <w:tcPr>
            <w:tcW w:type="dxa" w:w="720"/>
            <w:tcBorders>
              <w:top w:val="single" w:color="D9DEE6" w:sz="1"/>
              <w:left w:val="single" w:color="D9DEE6" w:sz="1"/>
              <w:bottom w:val="single" w:color="D9DEE6" w:sz="1"/>
              <w:right w:val="single" w:color="D9DEE6" w:sz="1"/>
            </w:tcBorders>
            <w:shd w:fill="EAF8F1" w:val="clear"/>
            <w:tcMar>
              <w:top w:type="dxa" w:w="80"/>
              <w:left w:type="dxa" w:w="120"/>
              <w:bottom w:type="dxa" w:w="80"/>
              <w:right w:type="dxa" w:w="120"/>
            </w:tcMar>
            <w:vAlign w:val="center"/>
          </w:tcPr>
          <w:p>
            <w:pPr>
              <w:jc w:val="center"/>
            </w:pPr>
            <w:r>
              <w:rPr>
                <w:b w:val="false"/>
                <w:bCs w:val="false"/>
                <w:color w:val="000000"/>
                <w:sz w:val="20"/>
                <w:szCs w:val="20"/>
              </w:rPr>
              <w:t xml:space="preserve">6</w:t>
            </w:r>
          </w:p>
        </w:tc>
        <w:tc>
          <w:tcPr>
            <w:tcW w:type="dxa" w:w="3640"/>
            <w:tcBorders>
              <w:top w:val="single" w:color="D9DEE6" w:sz="1"/>
              <w:left w:val="single" w:color="D9DEE6" w:sz="1"/>
              <w:bottom w:val="single" w:color="D9DEE6" w:sz="1"/>
              <w:right w:val="single" w:color="D9DEE6" w:sz="1"/>
            </w:tcBorders>
            <w:shd w:fill="EAF8F1" w:val="clear"/>
            <w:tcMar>
              <w:top w:type="dxa" w:w="80"/>
              <w:left w:type="dxa" w:w="120"/>
              <w:bottom w:type="dxa" w:w="80"/>
              <w:right w:type="dxa" w:w="120"/>
            </w:tcMar>
            <w:vAlign w:val="center"/>
          </w:tcPr>
          <w:p>
            <w:pPr>
              <w:jc w:val="left"/>
            </w:pPr>
            <w:r>
              <w:rPr>
                <w:b w:val="false"/>
                <w:bCs w:val="false"/>
                <w:color w:val="000000"/>
                <w:sz w:val="20"/>
                <w:szCs w:val="20"/>
              </w:rPr>
              <w:t xml:space="preserve">[Event 6]</w:t>
            </w:r>
          </w:p>
        </w:tc>
        <w:tc>
          <w:tcPr>
            <w:tcW w:type="dxa" w:w="2500"/>
            <w:tcBorders>
              <w:top w:val="single" w:color="D9DEE6" w:sz="1"/>
              <w:left w:val="single" w:color="D9DEE6" w:sz="1"/>
              <w:bottom w:val="single" w:color="D9DEE6" w:sz="1"/>
              <w:right w:val="single" w:color="D9DEE6" w:sz="1"/>
            </w:tcBorders>
            <w:shd w:fill="EAF8F1" w:val="clear"/>
            <w:tcMar>
              <w:top w:type="dxa" w:w="80"/>
              <w:left w:type="dxa" w:w="120"/>
              <w:bottom w:type="dxa" w:w="80"/>
              <w:right w:type="dxa" w:w="120"/>
            </w:tcMar>
            <w:vAlign w:val="center"/>
          </w:tcPr>
          <w:p>
            <w:pPr>
              <w:jc w:val="left"/>
            </w:pPr>
            <w:r>
              <w:rPr>
                <w:b w:val="false"/>
                <w:bCs w:val="false"/>
                <w:color w:val="000000"/>
                <w:sz w:val="20"/>
                <w:szCs w:val="20"/>
              </w:rPr>
              <w:t xml:space="preserve">[City, ST]</w:t>
            </w:r>
          </w:p>
        </w:tc>
        <w:tc>
          <w:tcPr>
            <w:tcW w:type="dxa" w:w="2500"/>
            <w:tcBorders>
              <w:top w:val="single" w:color="D9DEE6" w:sz="1"/>
              <w:left w:val="single" w:color="D9DEE6" w:sz="1"/>
              <w:bottom w:val="single" w:color="D9DEE6" w:sz="1"/>
              <w:right w:val="single" w:color="D9DEE6" w:sz="1"/>
            </w:tcBorders>
            <w:shd w:fill="EAF8F1" w:val="clear"/>
            <w:tcMar>
              <w:top w:type="dxa" w:w="80"/>
              <w:left w:type="dxa" w:w="120"/>
              <w:bottom w:type="dxa" w:w="80"/>
              <w:right w:type="dxa" w:w="120"/>
            </w:tcMar>
            <w:vAlign w:val="center"/>
          </w:tcPr>
          <w:p>
            <w:pPr>
              <w:jc w:val="left"/>
            </w:pPr>
            <w:r>
              <w:rPr>
                <w:b w:val="false"/>
                <w:bCs w:val="false"/>
                <w:color w:val="000000"/>
                <w:sz w:val="20"/>
                <w:szCs w:val="20"/>
              </w:rPr>
              <w:t xml:space="preserve">[MM/DD–MM/DD/YYYY]</w:t>
            </w:r>
          </w:p>
        </w:tc>
      </w:tr>
      <w:tr>
        <w:tc>
          <w:tcPr>
            <w:tcW w:type="dxa" w:w="720"/>
            <w:tcBorders>
              <w:top w:val="single" w:color="D9DEE6" w:sz="1"/>
              <w:left w:val="single" w:color="D9DEE6" w:sz="1"/>
              <w:bottom w:val="single" w:color="D9DEE6" w:sz="1"/>
              <w:right w:val="single" w:color="D9DEE6"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7</w:t>
            </w:r>
          </w:p>
        </w:tc>
        <w:tc>
          <w:tcPr>
            <w:tcW w:type="dxa" w:w="3640"/>
            <w:tcBorders>
              <w:top w:val="single" w:color="D9DEE6" w:sz="1"/>
              <w:left w:val="single" w:color="D9DEE6" w:sz="1"/>
              <w:bottom w:val="single" w:color="D9DEE6" w:sz="1"/>
              <w:right w:val="single" w:color="D9DEE6"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[Event 7]</w:t>
            </w:r>
          </w:p>
        </w:tc>
        <w:tc>
          <w:tcPr>
            <w:tcW w:type="dxa" w:w="2500"/>
            <w:tcBorders>
              <w:top w:val="single" w:color="D9DEE6" w:sz="1"/>
              <w:left w:val="single" w:color="D9DEE6" w:sz="1"/>
              <w:bottom w:val="single" w:color="D9DEE6" w:sz="1"/>
              <w:right w:val="single" w:color="D9DEE6"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[City, ST]</w:t>
            </w:r>
          </w:p>
        </w:tc>
        <w:tc>
          <w:tcPr>
            <w:tcW w:type="dxa" w:w="2500"/>
            <w:tcBorders>
              <w:top w:val="single" w:color="D9DEE6" w:sz="1"/>
              <w:left w:val="single" w:color="D9DEE6" w:sz="1"/>
              <w:bottom w:val="single" w:color="D9DEE6" w:sz="1"/>
              <w:right w:val="single" w:color="D9DEE6"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[MM/DD–MM/DD/YYYY]</w:t>
            </w:r>
          </w:p>
        </w:tc>
      </w:tr>
      <w:tr>
        <w:tc>
          <w:tcPr>
            <w:tcW w:type="dxa" w:w="720"/>
            <w:tcBorders>
              <w:top w:val="single" w:color="D9DEE6" w:sz="1"/>
              <w:left w:val="single" w:color="D9DEE6" w:sz="1"/>
              <w:bottom w:val="single" w:color="D9DEE6" w:sz="1"/>
              <w:right w:val="single" w:color="D9DEE6" w:sz="1"/>
            </w:tcBorders>
            <w:shd w:fill="EAF8F1" w:val="clear"/>
            <w:tcMar>
              <w:top w:type="dxa" w:w="80"/>
              <w:left w:type="dxa" w:w="120"/>
              <w:bottom w:type="dxa" w:w="80"/>
              <w:right w:type="dxa" w:w="120"/>
            </w:tcMar>
            <w:vAlign w:val="center"/>
          </w:tcPr>
          <w:p>
            <w:pPr>
              <w:jc w:val="center"/>
            </w:pPr>
            <w:r>
              <w:rPr>
                <w:b w:val="false"/>
                <w:bCs w:val="false"/>
                <w:color w:val="000000"/>
                <w:sz w:val="20"/>
                <w:szCs w:val="20"/>
              </w:rPr>
              <w:t xml:space="preserve">8</w:t>
            </w:r>
          </w:p>
        </w:tc>
        <w:tc>
          <w:tcPr>
            <w:tcW w:type="dxa" w:w="3640"/>
            <w:tcBorders>
              <w:top w:val="single" w:color="D9DEE6" w:sz="1"/>
              <w:left w:val="single" w:color="D9DEE6" w:sz="1"/>
              <w:bottom w:val="single" w:color="D9DEE6" w:sz="1"/>
              <w:right w:val="single" w:color="D9DEE6" w:sz="1"/>
            </w:tcBorders>
            <w:shd w:fill="EAF8F1" w:val="clear"/>
            <w:tcMar>
              <w:top w:type="dxa" w:w="80"/>
              <w:left w:type="dxa" w:w="120"/>
              <w:bottom w:type="dxa" w:w="80"/>
              <w:right w:type="dxa" w:w="120"/>
            </w:tcMar>
            <w:vAlign w:val="center"/>
          </w:tcPr>
          <w:p>
            <w:pPr>
              <w:jc w:val="left"/>
            </w:pPr>
            <w:r>
              <w:rPr>
                <w:b w:val="false"/>
                <w:bCs w:val="false"/>
                <w:color w:val="000000"/>
                <w:sz w:val="20"/>
                <w:szCs w:val="20"/>
              </w:rPr>
              <w:t xml:space="preserve">[Event 8]</w:t>
            </w:r>
          </w:p>
        </w:tc>
        <w:tc>
          <w:tcPr>
            <w:tcW w:type="dxa" w:w="2500"/>
            <w:tcBorders>
              <w:top w:val="single" w:color="D9DEE6" w:sz="1"/>
              <w:left w:val="single" w:color="D9DEE6" w:sz="1"/>
              <w:bottom w:val="single" w:color="D9DEE6" w:sz="1"/>
              <w:right w:val="single" w:color="D9DEE6" w:sz="1"/>
            </w:tcBorders>
            <w:shd w:fill="EAF8F1" w:val="clear"/>
            <w:tcMar>
              <w:top w:type="dxa" w:w="80"/>
              <w:left w:type="dxa" w:w="120"/>
              <w:bottom w:type="dxa" w:w="80"/>
              <w:right w:type="dxa" w:w="120"/>
            </w:tcMar>
            <w:vAlign w:val="center"/>
          </w:tcPr>
          <w:p>
            <w:pPr>
              <w:jc w:val="left"/>
            </w:pPr>
            <w:r>
              <w:rPr>
                <w:b w:val="false"/>
                <w:bCs w:val="false"/>
                <w:color w:val="000000"/>
                <w:sz w:val="20"/>
                <w:szCs w:val="20"/>
              </w:rPr>
              <w:t xml:space="preserve">[City, ST]</w:t>
            </w:r>
          </w:p>
        </w:tc>
        <w:tc>
          <w:tcPr>
            <w:tcW w:type="dxa" w:w="2500"/>
            <w:tcBorders>
              <w:top w:val="single" w:color="D9DEE6" w:sz="1"/>
              <w:left w:val="single" w:color="D9DEE6" w:sz="1"/>
              <w:bottom w:val="single" w:color="D9DEE6" w:sz="1"/>
              <w:right w:val="single" w:color="D9DEE6" w:sz="1"/>
            </w:tcBorders>
            <w:shd w:fill="EAF8F1" w:val="clear"/>
            <w:tcMar>
              <w:top w:type="dxa" w:w="80"/>
              <w:left w:type="dxa" w:w="120"/>
              <w:bottom w:type="dxa" w:w="80"/>
              <w:right w:type="dxa" w:w="120"/>
            </w:tcMar>
            <w:vAlign w:val="center"/>
          </w:tcPr>
          <w:p>
            <w:pPr>
              <w:jc w:val="left"/>
            </w:pPr>
            <w:r>
              <w:rPr>
                <w:b w:val="false"/>
                <w:bCs w:val="false"/>
                <w:color w:val="000000"/>
                <w:sz w:val="20"/>
                <w:szCs w:val="20"/>
              </w:rPr>
              <w:t xml:space="preserve">[MM/DD–MM/DD/YYYY]</w:t>
            </w:r>
          </w:p>
        </w:tc>
      </w:tr>
      <w:tr>
        <w:tc>
          <w:tcPr>
            <w:tcW w:type="dxa" w:w="720"/>
            <w:tcBorders>
              <w:top w:val="single" w:color="D9DEE6" w:sz="1"/>
              <w:left w:val="single" w:color="D9DEE6" w:sz="1"/>
              <w:bottom w:val="single" w:color="D9DEE6" w:sz="1"/>
              <w:right w:val="single" w:color="D9DEE6"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9</w:t>
            </w:r>
          </w:p>
        </w:tc>
        <w:tc>
          <w:tcPr>
            <w:tcW w:type="dxa" w:w="3640"/>
            <w:tcBorders>
              <w:top w:val="single" w:color="D9DEE6" w:sz="1"/>
              <w:left w:val="single" w:color="D9DEE6" w:sz="1"/>
              <w:bottom w:val="single" w:color="D9DEE6" w:sz="1"/>
              <w:right w:val="single" w:color="D9DEE6"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[Event 9]</w:t>
            </w:r>
          </w:p>
        </w:tc>
        <w:tc>
          <w:tcPr>
            <w:tcW w:type="dxa" w:w="2500"/>
            <w:tcBorders>
              <w:top w:val="single" w:color="D9DEE6" w:sz="1"/>
              <w:left w:val="single" w:color="D9DEE6" w:sz="1"/>
              <w:bottom w:val="single" w:color="D9DEE6" w:sz="1"/>
              <w:right w:val="single" w:color="D9DEE6"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[City, ST]</w:t>
            </w:r>
          </w:p>
        </w:tc>
        <w:tc>
          <w:tcPr>
            <w:tcW w:type="dxa" w:w="2500"/>
            <w:tcBorders>
              <w:top w:val="single" w:color="D9DEE6" w:sz="1"/>
              <w:left w:val="single" w:color="D9DEE6" w:sz="1"/>
              <w:bottom w:val="single" w:color="D9DEE6" w:sz="1"/>
              <w:right w:val="single" w:color="D9DEE6"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[MM/DD–MM/DD/YYYY]</w:t>
            </w:r>
          </w:p>
        </w:tc>
      </w:tr>
    </w:tbl>
    <w:p>
      <w:pPr>
        <w:pStyle w:val="Heading1"/>
      </w:pPr>
      <w:r>
        <w:t xml:space="preserve">4.  Revisions &amp; Change Management</w:t>
      </w:r>
    </w:p>
    <w:p>
      <w:pPr>
        <w:spacing w:after="140" w:line="276"/>
        <w:jc w:val="left"/>
      </w:pPr>
      <w:r>
        <w:rPr>
          <w:sz w:val="22"/>
          <w:szCs w:val="22"/>
        </w:rPr>
        <w:t xml:space="preserve">Because each activation is tied to a fixed, date-certain event, revisions are subject to both a quantity cap and a time cap. </w:t>
      </w:r>
      <w:r>
        <w:rPr>
          <w:b/>
          <w:bCs/>
          <w:sz w:val="22"/>
          <w:szCs w:val="22"/>
        </w:rPr>
        <w:t xml:space="preserve">Up to three (3) rounds of revisions</w:t>
      </w:r>
      <w:r>
        <w:rPr>
          <w:sz w:val="22"/>
          <w:szCs w:val="22"/>
        </w:rPr>
        <w:t xml:space="preserve"> are included per event configuration. Revisions are limited to the in-scope customization (color and logo).</w:t>
      </w:r>
    </w:p>
    <w:p>
      <w:pPr>
        <w:pStyle w:val="Heading2"/>
      </w:pPr>
      <w:r>
        <w:t xml:space="preserve">4.1  Revision Rules</w:t>
      </w:r>
    </w:p>
    <w:p>
      <w:pPr>
        <w:pStyle w:val="ListParagraph"/>
        <w:numPr>
          <w:ilvl w:val="0"/>
          <w:numId w:val="2"/>
        </w:numPr>
        <w:spacing w:after="80" w:line="270"/>
      </w:pPr>
      <w:r>
        <w:rPr>
          <w:b/>
          <w:bCs/>
          <w:sz w:val="22"/>
          <w:szCs w:val="22"/>
        </w:rPr>
        <w:t xml:space="preserve">Quantity: </w:t>
      </w:r>
      <w:r>
        <w:rPr>
          <w:sz w:val="22"/>
          <w:szCs w:val="22"/>
        </w:rPr>
        <w:t xml:space="preserve">Maximum of three (3) revision rounds per event. Each round consolidates Client feedback into a single set; piecemeal requests are batched into the current round.</w:t>
      </w:r>
    </w:p>
    <w:p>
      <w:pPr>
        <w:pStyle w:val="ListParagraph"/>
        <w:numPr>
          <w:ilvl w:val="0"/>
          <w:numId w:val="2"/>
        </w:numPr>
        <w:spacing w:after="80" w:line="270"/>
      </w:pPr>
      <w:r>
        <w:rPr>
          <w:b/>
          <w:bCs/>
          <w:sz w:val="22"/>
          <w:szCs w:val="22"/>
        </w:rPr>
        <w:t xml:space="preserve">Scope: </w:t>
      </w:r>
      <w:r>
        <w:rPr>
          <w:sz w:val="22"/>
          <w:szCs w:val="22"/>
        </w:rPr>
        <w:t xml:space="preserve">Revisions apply only to color and logo configuration on the predefined template. Requests outside this scope are treated as change orders (Section 6).</w:t>
      </w:r>
    </w:p>
    <w:p>
      <w:pPr>
        <w:pStyle w:val="ListParagraph"/>
        <w:numPr>
          <w:ilvl w:val="0"/>
          <w:numId w:val="2"/>
        </w:numPr>
        <w:spacing w:after="80" w:line="270"/>
      </w:pPr>
      <w:r>
        <w:rPr>
          <w:b/>
          <w:bCs/>
          <w:sz w:val="22"/>
          <w:szCs w:val="22"/>
        </w:rPr>
        <w:t xml:space="preserve">Request window: </w:t>
      </w:r>
      <w:r>
        <w:rPr>
          <w:sz w:val="22"/>
          <w:szCs w:val="22"/>
        </w:rPr>
        <w:t xml:space="preserve">Client must submit each round of revision requests within two (2) business days of receiving the relevant preview. Feedback received after this window moves to the next available round or, if none remain, to a change order.</w:t>
      </w:r>
    </w:p>
    <w:p>
      <w:pPr>
        <w:pStyle w:val="ListParagraph"/>
        <w:numPr>
          <w:ilvl w:val="0"/>
          <w:numId w:val="2"/>
        </w:numPr>
        <w:spacing w:after="80" w:line="270"/>
      </w:pPr>
      <w:r>
        <w:rPr>
          <w:b/>
          <w:bCs/>
          <w:sz w:val="22"/>
          <w:szCs w:val="22"/>
        </w:rPr>
        <w:t xml:space="preserve">Turnaround: </w:t>
      </w:r>
      <w:r>
        <w:rPr>
          <w:sz w:val="22"/>
          <w:szCs w:val="22"/>
        </w:rPr>
        <w:t xml:space="preserve">Provider will deliver each revision round within two (2) business days of receiving consolidated, in-scope feedback.</w:t>
      </w:r>
    </w:p>
    <w:p>
      <w:pPr>
        <w:pStyle w:val="Heading2"/>
      </w:pPr>
      <w:r>
        <w:t xml:space="preserve">4.2  Intake &amp; Lock Timeline (per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5000"/>
      </w:tblGrid>
      <w:tr>
        <w:trPr>
          <w:tblHeader/>
        </w:trPr>
        <w:tc>
          <w:tcPr>
            <w:tcW w:type="dxa" w:w="4360"/>
            <w:tcBorders>
              <w:top w:val="single" w:color="D9DEE6" w:sz="1"/>
              <w:left w:val="single" w:color="D9DEE6" w:sz="1"/>
              <w:bottom w:val="single" w:color="D9DEE6" w:sz="1"/>
              <w:right w:val="single" w:color="D9DEE6" w:sz="1"/>
            </w:tcBorders>
            <w:shd w:fill="1C2230" w:val="clear"/>
            <w:tcMar>
              <w:top w:type="dxa" w:w="80"/>
              <w:left w:type="dxa" w:w="120"/>
              <w:bottom w:type="dxa" w:w="80"/>
              <w:right w:type="dxa" w:w="120"/>
            </w:tcMar>
            <w:vAlign w:val="center"/>
          </w:tcPr>
          <w:p>
            <w:r>
              <w:rPr>
                <w:b/>
                <w:bCs/>
                <w:color w:val="FFFFFF"/>
                <w:sz w:val="20"/>
                <w:szCs w:val="20"/>
              </w:rPr>
              <w:t xml:space="preserve">Stage</w:t>
            </w:r>
          </w:p>
        </w:tc>
        <w:tc>
          <w:tcPr>
            <w:tcW w:type="dxa" w:w="5000"/>
            <w:tcBorders>
              <w:top w:val="single" w:color="D9DEE6" w:sz="1"/>
              <w:left w:val="single" w:color="D9DEE6" w:sz="1"/>
              <w:bottom w:val="single" w:color="D9DEE6" w:sz="1"/>
              <w:right w:val="single" w:color="D9DEE6" w:sz="1"/>
            </w:tcBorders>
            <w:shd w:fill="1C2230" w:val="clear"/>
            <w:tcMar>
              <w:top w:type="dxa" w:w="80"/>
              <w:left w:type="dxa" w:w="120"/>
              <w:bottom w:type="dxa" w:w="80"/>
              <w:right w:type="dxa" w:w="120"/>
            </w:tcMar>
            <w:vAlign w:val="center"/>
          </w:tcPr>
          <w:p>
            <w:r>
              <w:rPr>
                <w:b/>
                <w:bCs/>
                <w:color w:val="FFFFFF"/>
                <w:sz w:val="20"/>
                <w:szCs w:val="20"/>
              </w:rPr>
              <w:t xml:space="preserve">Timing</w:t>
            </w:r>
          </w:p>
        </w:tc>
      </w:tr>
      <w:tr>
        <w:tc>
          <w:tcPr>
            <w:tcW w:type="dxa" w:w="4360"/>
            <w:tcBorders>
              <w:top w:val="single" w:color="D9DEE6" w:sz="1"/>
              <w:left w:val="single" w:color="D9DEE6" w:sz="1"/>
              <w:bottom w:val="single" w:color="D9DEE6" w:sz="1"/>
              <w:right w:val="single" w:color="D9DEE6"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Brand asset &amp; specification intake (complete)</w:t>
            </w:r>
          </w:p>
        </w:tc>
        <w:tc>
          <w:tcPr>
            <w:tcW w:type="dxa" w:w="5000"/>
            <w:tcBorders>
              <w:top w:val="single" w:color="D9DEE6" w:sz="1"/>
              <w:left w:val="single" w:color="D9DEE6" w:sz="1"/>
              <w:bottom w:val="single" w:color="D9DEE6" w:sz="1"/>
              <w:right w:val="single" w:color="D9DEE6"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No later than 10 business days before the event activation window</w:t>
            </w:r>
          </w:p>
        </w:tc>
      </w:tr>
      <w:tr>
        <w:tc>
          <w:tcPr>
            <w:tcW w:type="dxa" w:w="4360"/>
            <w:tcBorders>
              <w:top w:val="single" w:color="D9DEE6" w:sz="1"/>
              <w:left w:val="single" w:color="D9DEE6" w:sz="1"/>
              <w:bottom w:val="single" w:color="D9DEE6" w:sz="1"/>
              <w:right w:val="single" w:color="D9DEE6" w:sz="1"/>
            </w:tcBorders>
            <w:shd w:fill="EAF8F1" w:val="clear"/>
            <w:tcMar>
              <w:top w:type="dxa" w:w="80"/>
              <w:left w:type="dxa" w:w="120"/>
              <w:bottom w:type="dxa" w:w="80"/>
              <w:right w:type="dxa" w:w="120"/>
            </w:tcMar>
            <w:vAlign w:val="center"/>
          </w:tcPr>
          <w:p>
            <w:pPr>
              <w:jc w:val="left"/>
            </w:pPr>
            <w:r>
              <w:rPr>
                <w:b w:val="false"/>
                <w:bCs w:val="false"/>
                <w:color w:val="000000"/>
                <w:sz w:val="20"/>
                <w:szCs w:val="20"/>
              </w:rPr>
              <w:t xml:space="preserve">Initial branded preview delivered</w:t>
            </w:r>
          </w:p>
        </w:tc>
        <w:tc>
          <w:tcPr>
            <w:tcW w:type="dxa" w:w="5000"/>
            <w:tcBorders>
              <w:top w:val="single" w:color="D9DEE6" w:sz="1"/>
              <w:left w:val="single" w:color="D9DEE6" w:sz="1"/>
              <w:bottom w:val="single" w:color="D9DEE6" w:sz="1"/>
              <w:right w:val="single" w:color="D9DEE6" w:sz="1"/>
            </w:tcBorders>
            <w:shd w:fill="EAF8F1" w:val="clear"/>
            <w:tcMar>
              <w:top w:type="dxa" w:w="80"/>
              <w:left w:type="dxa" w:w="120"/>
              <w:bottom w:type="dxa" w:w="80"/>
              <w:right w:type="dxa" w:w="120"/>
            </w:tcMar>
            <w:vAlign w:val="center"/>
          </w:tcPr>
          <w:p>
            <w:pPr>
              <w:jc w:val="left"/>
            </w:pPr>
            <w:r>
              <w:rPr>
                <w:b w:val="false"/>
                <w:bCs w:val="false"/>
                <w:color w:val="000000"/>
                <w:sz w:val="20"/>
                <w:szCs w:val="20"/>
              </w:rPr>
              <w:t xml:space="preserve">Within 5 business days of receiving complete, usable assets</w:t>
            </w:r>
          </w:p>
        </w:tc>
      </w:tr>
      <w:tr>
        <w:tc>
          <w:tcPr>
            <w:tcW w:type="dxa" w:w="4360"/>
            <w:tcBorders>
              <w:top w:val="single" w:color="D9DEE6" w:sz="1"/>
              <w:left w:val="single" w:color="D9DEE6" w:sz="1"/>
              <w:bottom w:val="single" w:color="D9DEE6" w:sz="1"/>
              <w:right w:val="single" w:color="D9DEE6"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Revision rounds (max 3)</w:t>
            </w:r>
          </w:p>
        </w:tc>
        <w:tc>
          <w:tcPr>
            <w:tcW w:type="dxa" w:w="5000"/>
            <w:tcBorders>
              <w:top w:val="single" w:color="D9DEE6" w:sz="1"/>
              <w:left w:val="single" w:color="D9DEE6" w:sz="1"/>
              <w:bottom w:val="single" w:color="D9DEE6" w:sz="1"/>
              <w:right w:val="single" w:color="D9DEE6"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Each requested within 2 business days; delivered within 2 business days</w:t>
            </w:r>
          </w:p>
        </w:tc>
      </w:tr>
      <w:tr>
        <w:tc>
          <w:tcPr>
            <w:tcW w:type="dxa" w:w="4360"/>
            <w:tcBorders>
              <w:top w:val="single" w:color="D9DEE6" w:sz="1"/>
              <w:left w:val="single" w:color="D9DEE6" w:sz="1"/>
              <w:bottom w:val="single" w:color="D9DEE6" w:sz="1"/>
              <w:right w:val="single" w:color="D9DEE6" w:sz="1"/>
            </w:tcBorders>
            <w:shd w:fill="EAF8F1" w:val="clear"/>
            <w:tcMar>
              <w:top w:type="dxa" w:w="80"/>
              <w:left w:type="dxa" w:w="120"/>
              <w:bottom w:type="dxa" w:w="80"/>
              <w:right w:type="dxa" w:w="120"/>
            </w:tcMar>
            <w:vAlign w:val="center"/>
          </w:tcPr>
          <w:p>
            <w:pPr>
              <w:jc w:val="left"/>
            </w:pPr>
            <w:r>
              <w:rPr>
                <w:b w:val="false"/>
                <w:bCs w:val="false"/>
                <w:color w:val="000000"/>
                <w:sz w:val="20"/>
                <w:szCs w:val="20"/>
              </w:rPr>
              <w:t xml:space="preserve">Configuration freeze / lock</w:t>
            </w:r>
          </w:p>
        </w:tc>
        <w:tc>
          <w:tcPr>
            <w:tcW w:type="dxa" w:w="5000"/>
            <w:tcBorders>
              <w:top w:val="single" w:color="D9DEE6" w:sz="1"/>
              <w:left w:val="single" w:color="D9DEE6" w:sz="1"/>
              <w:bottom w:val="single" w:color="D9DEE6" w:sz="1"/>
              <w:right w:val="single" w:color="D9DEE6" w:sz="1"/>
            </w:tcBorders>
            <w:shd w:fill="EAF8F1" w:val="clear"/>
            <w:tcMar>
              <w:top w:type="dxa" w:w="80"/>
              <w:left w:type="dxa" w:w="120"/>
              <w:bottom w:type="dxa" w:w="80"/>
              <w:right w:type="dxa" w:w="120"/>
            </w:tcMar>
            <w:vAlign w:val="center"/>
          </w:tcPr>
          <w:p>
            <w:pPr>
              <w:jc w:val="left"/>
            </w:pPr>
            <w:r>
              <w:rPr>
                <w:b w:val="false"/>
                <w:bCs w:val="false"/>
                <w:color w:val="000000"/>
                <w:sz w:val="20"/>
                <w:szCs w:val="20"/>
              </w:rPr>
              <w:t xml:space="preserve">3 business days before the event activation window</w:t>
            </w:r>
          </w:p>
        </w:tc>
      </w:tr>
      <w:tr>
        <w:tc>
          <w:tcPr>
            <w:tcW w:type="dxa" w:w="4360"/>
            <w:tcBorders>
              <w:top w:val="single" w:color="D9DEE6" w:sz="1"/>
              <w:left w:val="single" w:color="D9DEE6" w:sz="1"/>
              <w:bottom w:val="single" w:color="D9DEE6" w:sz="1"/>
              <w:right w:val="single" w:color="D9DEE6"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Go-live (first release: Event 1)</w:t>
            </w:r>
          </w:p>
        </w:tc>
        <w:tc>
          <w:tcPr>
            <w:tcW w:type="dxa" w:w="5000"/>
            <w:tcBorders>
              <w:top w:val="single" w:color="D9DEE6" w:sz="1"/>
              <w:left w:val="single" w:color="D9DEE6" w:sz="1"/>
              <w:bottom w:val="single" w:color="D9DEE6" w:sz="1"/>
              <w:right w:val="single" w:color="D9DEE6"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Per confirmed event date</w:t>
            </w:r>
          </w:p>
        </w:tc>
      </w:tr>
    </w:tbl>
    <w:p>
      <w:pPr>
        <w:spacing w:after="60" w:line="276"/>
        <w:jc w:val="left"/>
      </w:pPr>
      <w:r>
        <w:rPr>
          <w:sz w:val="22"/>
          <w:szCs w:val="22"/>
        </w:rPr>
        <w:t xml:space="preserve">At the configuration freeze, the event configuration is locked and considered accepted for that event. </w:t>
      </w:r>
      <w:r>
        <w:rPr>
          <w:sz w:val="22"/>
          <w:szCs w:val="22"/>
        </w:rPr>
        <w:t xml:space="preserve">Changes after freeze, beyond three revision rounds, or outside the request window are billed as change orders at $150/hour (one-hour minimum), subject to feasibility before the event date.</w:t>
      </w:r>
    </w:p>
    <w:p>
      <w:pPr>
        <w:spacing w:after="140" w:line="276"/>
        <w:jc w:val="left"/>
      </w:pPr>
      <w:r>
        <w:rPr>
          <w:i/>
          <w:iCs/>
          <w:color w:val="5A6472"/>
          <w:sz w:val="22"/>
          <w:szCs w:val="22"/>
        </w:rPr>
        <w:t xml:space="preserve">Delays in Client-supplied assets, feedback, or approvals shift the timeline accordingly and may affect Provider’s ability to meet the event date; Provider is not responsible for outcomes caused by late inputs.</w:t>
      </w:r>
    </w:p>
    <w:p>
      <w:pPr>
        <w:pStyle w:val="Heading1"/>
      </w:pPr>
      <w:r>
        <w:t xml:space="preserve">5.  Assumptions &amp; Client Responsibilities</w:t>
      </w:r>
    </w:p>
    <w:p>
      <w:pPr>
        <w:pStyle w:val="ListParagraph"/>
        <w:numPr>
          <w:ilvl w:val="0"/>
          <w:numId w:val="2"/>
        </w:numPr>
        <w:spacing w:after="80" w:line="270"/>
      </w:pPr>
      <w:r>
        <w:rPr>
          <w:sz w:val="22"/>
          <w:szCs w:val="22"/>
        </w:rPr>
        <w:t xml:space="preserve">Client provides all brand assets before configuration begins: logo files in vector or high-resolution PNG (transparent background) and brand color values (HEX or equivalent).</w:t>
      </w:r>
    </w:p>
    <w:p>
      <w:pPr>
        <w:pStyle w:val="ListParagraph"/>
        <w:numPr>
          <w:ilvl w:val="0"/>
          <w:numId w:val="2"/>
        </w:numPr>
        <w:spacing w:after="80" w:line="270"/>
      </w:pPr>
      <w:r>
        <w:rPr>
          <w:sz w:val="22"/>
          <w:szCs w:val="22"/>
        </w:rPr>
        <w:t xml:space="preserve">Client provides any predefined event assets and a single point of contact authorized to give feedback and approvals.</w:t>
      </w:r>
    </w:p>
    <w:p>
      <w:pPr>
        <w:pStyle w:val="ListParagraph"/>
        <w:numPr>
          <w:ilvl w:val="0"/>
          <w:numId w:val="2"/>
        </w:numPr>
        <w:spacing w:after="80" w:line="270"/>
      </w:pPr>
      <w:r>
        <w:rPr>
          <w:sz w:val="22"/>
          <w:szCs w:val="22"/>
        </w:rPr>
        <w:t xml:space="preserve">Client secures on-site requirements at each venue, including power, network/internet connectivity, and physical space/placement for the activation, unless otherwise agreed in writing.</w:t>
      </w:r>
    </w:p>
    <w:p>
      <w:pPr>
        <w:pStyle w:val="ListParagraph"/>
        <w:numPr>
          <w:ilvl w:val="0"/>
          <w:numId w:val="2"/>
        </w:numPr>
        <w:spacing w:after="80" w:line="270"/>
      </w:pPr>
      <w:r>
        <w:rPr>
          <w:sz w:val="22"/>
          <w:szCs w:val="22"/>
        </w:rPr>
        <w:t xml:space="preserve">Client is responsible for obtaining any necessary attendee consents and rights for capture, generation, and display of content at each event.</w:t>
      </w:r>
    </w:p>
    <w:p>
      <w:pPr>
        <w:pStyle w:val="ListParagraph"/>
        <w:numPr>
          <w:ilvl w:val="0"/>
          <w:numId w:val="2"/>
        </w:numPr>
        <w:spacing w:after="80" w:line="270"/>
      </w:pPr>
      <w:r>
        <w:rPr>
          <w:sz w:val="22"/>
          <w:szCs w:val="22"/>
        </w:rPr>
        <w:t xml:space="preserve">Event dates, locations, and activation windows are confirmed by Client in writing at least 10 business days before each event.</w:t>
      </w:r>
    </w:p>
    <w:p>
      <w:pPr>
        <w:pStyle w:val="ListParagraph"/>
        <w:numPr>
          <w:ilvl w:val="0"/>
          <w:numId w:val="2"/>
        </w:numPr>
        <w:spacing w:after="80" w:line="270"/>
      </w:pPr>
      <w:r>
        <w:rPr>
          <w:sz w:val="22"/>
          <w:szCs w:val="22"/>
        </w:rPr>
        <w:t xml:space="preserve">Feedback and approvals are consolidated and delivered by the single point of contact within the windows defined in Section 4.</w:t>
      </w:r>
    </w:p>
    <w:p>
      <w:pPr>
        <w:pStyle w:val="Heading1"/>
      </w:pPr>
      <w:r>
        <w:t xml:space="preserve">6.  Out of Scope</w:t>
      </w:r>
    </w:p>
    <w:p>
      <w:pPr>
        <w:spacing w:after="140" w:line="276"/>
        <w:jc w:val="left"/>
      </w:pPr>
      <w:r>
        <w:rPr>
          <w:sz w:val="22"/>
          <w:szCs w:val="22"/>
        </w:rPr>
        <w:t xml:space="preserve">The following are not included in the fee in Section 7 and, if requested, are handled as separate change orders:</w:t>
      </w:r>
    </w:p>
    <w:p>
      <w:pPr>
        <w:pStyle w:val="ListParagraph"/>
        <w:numPr>
          <w:ilvl w:val="0"/>
          <w:numId w:val="2"/>
        </w:numPr>
        <w:spacing w:after="80" w:line="270"/>
      </w:pPr>
      <w:r>
        <w:rPr>
          <w:sz w:val="22"/>
          <w:szCs w:val="22"/>
        </w:rPr>
        <w:t xml:space="preserve">Any customization beyond color and logo (e.g., layout, templates, transitions, effects, custom AI prompts or models, new output formats).</w:t>
      </w:r>
    </w:p>
    <w:p>
      <w:pPr>
        <w:pStyle w:val="ListParagraph"/>
        <w:numPr>
          <w:ilvl w:val="0"/>
          <w:numId w:val="2"/>
        </w:numPr>
        <w:spacing w:after="80" w:line="270"/>
      </w:pPr>
      <w:r>
        <w:rPr>
          <w:sz w:val="22"/>
          <w:szCs w:val="22"/>
        </w:rPr>
        <w:t xml:space="preserve">Net-new feature development, integrations, or bespoke design work.</w:t>
      </w:r>
    </w:p>
    <w:p>
      <w:pPr>
        <w:pStyle w:val="ListParagraph"/>
        <w:numPr>
          <w:ilvl w:val="0"/>
          <w:numId w:val="2"/>
        </w:numPr>
        <w:spacing w:after="80" w:line="270"/>
      </w:pPr>
      <w:r>
        <w:rPr>
          <w:sz w:val="22"/>
          <w:szCs w:val="22"/>
        </w:rPr>
        <w:t xml:space="preserve">More than 250 AI-generated videos at any single event (overage).</w:t>
      </w:r>
    </w:p>
    <w:p>
      <w:pPr>
        <w:pStyle w:val="ListParagraph"/>
        <w:numPr>
          <w:ilvl w:val="0"/>
          <w:numId w:val="2"/>
        </w:numPr>
        <w:spacing w:after="80" w:line="270"/>
      </w:pPr>
      <w:r>
        <w:rPr>
          <w:sz w:val="22"/>
          <w:szCs w:val="22"/>
        </w:rPr>
        <w:t xml:space="preserve">More than three (3) revision rounds per event, or changes after configuration freeze.</w:t>
      </w:r>
    </w:p>
    <w:p>
      <w:pPr>
        <w:pStyle w:val="ListParagraph"/>
        <w:numPr>
          <w:ilvl w:val="0"/>
          <w:numId w:val="2"/>
        </w:numPr>
        <w:spacing w:after="80" w:line="270"/>
      </w:pPr>
      <w:r>
        <w:rPr>
          <w:sz w:val="22"/>
          <w:szCs w:val="22"/>
        </w:rPr>
        <w:t xml:space="preserve">On-site staffing, hardware procurement, networking equipment, travel, or venue costs, unless expressly agreed in writing.</w:t>
      </w:r>
    </w:p>
    <w:p>
      <w:pPr>
        <w:pStyle w:val="ListParagraph"/>
        <w:numPr>
          <w:ilvl w:val="0"/>
          <w:numId w:val="2"/>
        </w:numPr>
        <w:spacing w:after="80" w:line="270"/>
      </w:pPr>
      <w:r>
        <w:rPr>
          <w:sz w:val="22"/>
          <w:szCs w:val="22"/>
        </w:rPr>
        <w:t xml:space="preserve">Events beyond the nine (9) covered by this SOW.</w:t>
      </w:r>
    </w:p>
    <w:p>
      <w:pPr>
        <w:pStyle w:val="Heading1"/>
      </w:pPr>
      <w:r>
        <w:t xml:space="preserve">7.  Commercial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200"/>
        <w:gridCol w:w="1800"/>
      </w:tblGrid>
      <w:tr>
        <w:trPr>
          <w:tblHeader/>
        </w:trPr>
        <w:tc>
          <w:tcPr>
            <w:tcW w:type="dxa" w:w="5360"/>
            <w:tcBorders>
              <w:top w:val="single" w:color="D9DEE6" w:sz="1"/>
              <w:left w:val="single" w:color="D9DEE6" w:sz="1"/>
              <w:bottom w:val="single" w:color="D9DEE6" w:sz="1"/>
              <w:right w:val="single" w:color="D9DEE6" w:sz="1"/>
            </w:tcBorders>
            <w:shd w:fill="1C2230" w:val="clear"/>
            <w:tcMar>
              <w:top w:type="dxa" w:w="80"/>
              <w:left w:type="dxa" w:w="120"/>
              <w:bottom w:type="dxa" w:w="80"/>
              <w:right w:type="dxa" w:w="120"/>
            </w:tcMar>
            <w:vAlign w:val="center"/>
          </w:tcPr>
          <w:p>
            <w:r>
              <w:rPr>
                <w:b/>
                <w:bCs/>
                <w:color w:val="FFFFFF"/>
                <w:sz w:val="20"/>
                <w:szCs w:val="20"/>
              </w:rPr>
              <w:t xml:space="preserve">Item</w:t>
            </w:r>
          </w:p>
        </w:tc>
        <w:tc>
          <w:tcPr>
            <w:tcW w:type="dxa" w:w="2200"/>
            <w:tcBorders>
              <w:top w:val="single" w:color="D9DEE6" w:sz="1"/>
              <w:left w:val="single" w:color="D9DEE6" w:sz="1"/>
              <w:bottom w:val="single" w:color="D9DEE6" w:sz="1"/>
              <w:right w:val="single" w:color="D9DEE6" w:sz="1"/>
            </w:tcBorders>
            <w:shd w:fill="1C2230" w:val="clear"/>
            <w:tcMar>
              <w:top w:type="dxa" w:w="80"/>
              <w:left w:type="dxa" w:w="120"/>
              <w:bottom w:type="dxa" w:w="80"/>
              <w:right w:type="dxa" w:w="120"/>
            </w:tcMar>
            <w:vAlign w:val="center"/>
          </w:tcPr>
          <w:p>
            <w:r>
              <w:rPr>
                <w:b/>
                <w:bCs/>
                <w:color w:val="FFFFFF"/>
                <w:sz w:val="20"/>
                <w:szCs w:val="20"/>
              </w:rPr>
              <w:t xml:space="preserve">Detail</w:t>
            </w:r>
          </w:p>
        </w:tc>
        <w:tc>
          <w:tcPr>
            <w:tcW w:type="dxa" w:w="1800"/>
            <w:tcBorders>
              <w:top w:val="single" w:color="D9DEE6" w:sz="1"/>
              <w:left w:val="single" w:color="D9DEE6" w:sz="1"/>
              <w:bottom w:val="single" w:color="D9DEE6" w:sz="1"/>
              <w:right w:val="single" w:color="D9DEE6" w:sz="1"/>
            </w:tcBorders>
            <w:shd w:fill="1C2230" w:val="clear"/>
            <w:tcMar>
              <w:top w:type="dxa" w:w="80"/>
              <w:left w:type="dxa" w:w="120"/>
              <w:bottom w:type="dxa" w:w="80"/>
              <w:right w:type="dxa" w:w="120"/>
            </w:tcMar>
            <w:vAlign w:val="center"/>
          </w:tcPr>
          <w:p>
            <w:r>
              <w:rPr>
                <w:b/>
                <w:bCs/>
                <w:color w:val="FFFFFF"/>
                <w:sz w:val="20"/>
                <w:szCs w:val="20"/>
              </w:rPr>
              <w:t xml:space="preserve">Amount</w:t>
            </w:r>
          </w:p>
        </w:tc>
      </w:tr>
      <w:tr>
        <w:tc>
          <w:tcPr>
            <w:tcW w:type="dxa" w:w="5360"/>
            <w:tcBorders>
              <w:top w:val="single" w:color="D9DEE6" w:sz="1"/>
              <w:left w:val="single" w:color="D9DEE6" w:sz="1"/>
              <w:bottom w:val="single" w:color="D9DEE6" w:sz="1"/>
              <w:right w:val="single" w:color="D9DEE6" w:sz="1"/>
            </w:tcBorders>
            <w:tcMar>
              <w:top w:type="dxa" w:w="80"/>
              <w:left w:type="dxa" w:w="120"/>
              <w:bottom w:type="dxa" w:w="80"/>
              <w:right w:type="dxa" w:w="120"/>
            </w:tcMar>
            <w:vAlign w:val="center"/>
          </w:tcPr>
          <w:p>
            <w:pPr>
              <w:jc w:val="left"/>
            </w:pPr>
            <w:r>
              <w:rPr>
                <w:b w:val="false"/>
                <w:bCs w:val="false"/>
                <w:color w:val="000000"/>
                <w:sz w:val="20"/>
                <w:szCs w:val="20"/>
              </w:rPr>
              <w:t xml:space="preserve">Branded Boat Booth activation — per event</w:t>
            </w:r>
          </w:p>
        </w:tc>
        <w:tc>
          <w:tcPr>
            <w:tcW w:type="dxa" w:w="2200"/>
            <w:tcBorders>
              <w:top w:val="single" w:color="D9DEE6" w:sz="1"/>
              <w:left w:val="single" w:color="D9DEE6" w:sz="1"/>
              <w:bottom w:val="single" w:color="D9DEE6" w:sz="1"/>
              <w:right w:val="single" w:color="D9DEE6" w:sz="1"/>
            </w:tcBorders>
            <w:tcMar>
              <w:top w:type="dxa" w:w="80"/>
              <w:left w:type="dxa" w:w="120"/>
              <w:bottom w:type="dxa" w:w="80"/>
              <w:right w:type="dxa" w:w="120"/>
            </w:tcMar>
            <w:vAlign w:val="center"/>
          </w:tcPr>
          <w:p>
            <w:pPr>
              <w:jc w:val="center"/>
            </w:pPr>
            <w:r>
              <w:rPr>
                <w:b w:val="false"/>
                <w:bCs w:val="false"/>
                <w:color w:val="000000"/>
                <w:sz w:val="20"/>
                <w:szCs w:val="20"/>
              </w:rPr>
              <w:t xml:space="preserve">Per event</w:t>
            </w:r>
          </w:p>
        </w:tc>
        <w:tc>
          <w:tcPr>
            <w:tcW w:type="dxa" w:w="1800"/>
            <w:tcBorders>
              <w:top w:val="single" w:color="D9DEE6" w:sz="1"/>
              <w:left w:val="single" w:color="D9DEE6" w:sz="1"/>
              <w:bottom w:val="single" w:color="D9DEE6" w:sz="1"/>
              <w:right w:val="single" w:color="D9DEE6" w:sz="1"/>
            </w:tcBorders>
            <w:tcMar>
              <w:top w:type="dxa" w:w="80"/>
              <w:left w:type="dxa" w:w="120"/>
              <w:bottom w:type="dxa" w:w="80"/>
              <w:right w:type="dxa" w:w="120"/>
            </w:tcMar>
            <w:vAlign w:val="center"/>
          </w:tcPr>
          <w:p>
            <w:pPr>
              <w:jc w:val="right"/>
            </w:pPr>
            <w:r>
              <w:rPr>
                <w:b w:val="false"/>
                <w:bCs w:val="false"/>
                <w:color w:val="000000"/>
                <w:sz w:val="20"/>
                <w:szCs w:val="20"/>
              </w:rPr>
              <w:t xml:space="preserve">$2,500</w:t>
            </w:r>
          </w:p>
        </w:tc>
      </w:tr>
      <w:tr>
        <w:tc>
          <w:tcPr>
            <w:tcW w:type="dxa" w:w="5360"/>
            <w:tcBorders>
              <w:top w:val="single" w:color="D9DEE6" w:sz="1"/>
              <w:left w:val="single" w:color="D9DEE6" w:sz="1"/>
              <w:bottom w:val="single" w:color="D9DEE6" w:sz="1"/>
              <w:right w:val="single" w:color="D9DEE6" w:sz="1"/>
            </w:tcBorders>
            <w:shd w:fill="EAF8F1" w:val="clear"/>
            <w:tcMar>
              <w:top w:type="dxa" w:w="80"/>
              <w:left w:type="dxa" w:w="120"/>
              <w:bottom w:type="dxa" w:w="80"/>
              <w:right w:type="dxa" w:w="120"/>
            </w:tcMar>
            <w:vAlign w:val="center"/>
          </w:tcPr>
          <w:p>
            <w:pPr>
              <w:jc w:val="left"/>
            </w:pPr>
            <w:r>
              <w:rPr>
                <w:b w:val="false"/>
                <w:bCs w:val="false"/>
                <w:color w:val="000000"/>
                <w:sz w:val="20"/>
                <w:szCs w:val="20"/>
              </w:rPr>
              <w:t xml:space="preserve">Number of events</w:t>
            </w:r>
          </w:p>
        </w:tc>
        <w:tc>
          <w:tcPr>
            <w:tcW w:type="dxa" w:w="2200"/>
            <w:tcBorders>
              <w:top w:val="single" w:color="D9DEE6" w:sz="1"/>
              <w:left w:val="single" w:color="D9DEE6" w:sz="1"/>
              <w:bottom w:val="single" w:color="D9DEE6" w:sz="1"/>
              <w:right w:val="single" w:color="D9DEE6" w:sz="1"/>
            </w:tcBorders>
            <w:shd w:fill="EAF8F1" w:val="clear"/>
            <w:tcMar>
              <w:top w:type="dxa" w:w="80"/>
              <w:left w:type="dxa" w:w="120"/>
              <w:bottom w:type="dxa" w:w="80"/>
              <w:right w:type="dxa" w:w="120"/>
            </w:tcMar>
            <w:vAlign w:val="center"/>
          </w:tcPr>
          <w:p>
            <w:pPr>
              <w:jc w:val="center"/>
            </w:pPr>
            <w:r>
              <w:rPr>
                <w:b w:val="false"/>
                <w:bCs w:val="false"/>
                <w:color w:val="000000"/>
                <w:sz w:val="20"/>
                <w:szCs w:val="20"/>
              </w:rPr>
              <w:t xml:space="preserve">9 events</w:t>
            </w:r>
          </w:p>
        </w:tc>
        <w:tc>
          <w:tcPr>
            <w:tcW w:type="dxa" w:w="1800"/>
            <w:tcBorders>
              <w:top w:val="single" w:color="D9DEE6" w:sz="1"/>
              <w:left w:val="single" w:color="D9DEE6" w:sz="1"/>
              <w:bottom w:val="single" w:color="D9DEE6" w:sz="1"/>
              <w:right w:val="single" w:color="D9DEE6" w:sz="1"/>
            </w:tcBorders>
            <w:shd w:fill="EAF8F1" w:val="clear"/>
            <w:tcMar>
              <w:top w:type="dxa" w:w="80"/>
              <w:left w:type="dxa" w:w="120"/>
              <w:bottom w:type="dxa" w:w="80"/>
              <w:right w:type="dxa" w:w="120"/>
            </w:tcMar>
            <w:vAlign w:val="center"/>
          </w:tcPr>
          <w:p>
            <w:pPr>
              <w:jc w:val="right"/>
            </w:pPr>
            <w:r>
              <w:rPr>
                <w:b w:val="false"/>
                <w:bCs w:val="false"/>
                <w:color w:val="000000"/>
                <w:sz w:val="20"/>
                <w:szCs w:val="20"/>
              </w:rPr>
              <w:t xml:space="preserve">× 9</w:t>
            </w:r>
          </w:p>
        </w:tc>
      </w:tr>
      <w:tr>
        <w:tc>
          <w:tcPr>
            <w:tcW w:type="dxa" w:w="5360"/>
            <w:tcBorders>
              <w:top w:val="single" w:color="D9DEE6" w:sz="1"/>
              <w:left w:val="single" w:color="D9DEE6" w:sz="1"/>
              <w:bottom w:val="single" w:color="D9DEE6" w:sz="1"/>
              <w:right w:val="single" w:color="D9DEE6" w:sz="1"/>
            </w:tcBorders>
            <w:shd w:fill="5BD49A" w:val="clear"/>
            <w:tcMar>
              <w:top w:type="dxa" w:w="80"/>
              <w:left w:type="dxa" w:w="120"/>
              <w:bottom w:type="dxa" w:w="80"/>
              <w:right w:type="dxa" w:w="120"/>
            </w:tcMar>
            <w:vAlign w:val="center"/>
          </w:tcPr>
          <w:p>
            <w:pPr>
              <w:jc w:val="left"/>
            </w:pPr>
            <w:r>
              <w:rPr>
                <w:b/>
                <w:bCs/>
                <w:color w:val="1C2230"/>
                <w:sz w:val="20"/>
                <w:szCs w:val="20"/>
              </w:rPr>
              <w:t xml:space="preserve">Total engagement fee</w:t>
            </w:r>
          </w:p>
        </w:tc>
        <w:tc>
          <w:tcPr>
            <w:tcW w:type="dxa" w:w="2200"/>
            <w:tcBorders>
              <w:top w:val="single" w:color="D9DEE6" w:sz="1"/>
              <w:left w:val="single" w:color="D9DEE6" w:sz="1"/>
              <w:bottom w:val="single" w:color="D9DEE6" w:sz="1"/>
              <w:right w:val="single" w:color="D9DEE6" w:sz="1"/>
            </w:tcBorders>
            <w:shd w:fill="5BD49A" w:val="clear"/>
            <w:tcMar>
              <w:top w:type="dxa" w:w="80"/>
              <w:left w:type="dxa" w:w="120"/>
              <w:bottom w:type="dxa" w:w="80"/>
              <w:right w:type="dxa" w:w="120"/>
            </w:tcMar>
            <w:vAlign w:val="center"/>
          </w:tcPr>
          <w:p>
            <w:pPr>
              <w:jc w:val="center"/>
            </w:pPr>
            <w:r>
              <w:rPr>
                <w:b/>
                <w:bCs/>
                <w:color w:val="1C2230"/>
                <w:sz w:val="20"/>
                <w:szCs w:val="20"/>
              </w:rPr>
              <w:t xml:space="preserve">Fixed fee</w:t>
            </w:r>
          </w:p>
        </w:tc>
        <w:tc>
          <w:tcPr>
            <w:tcW w:type="dxa" w:w="1800"/>
            <w:tcBorders>
              <w:top w:val="single" w:color="D9DEE6" w:sz="1"/>
              <w:left w:val="single" w:color="D9DEE6" w:sz="1"/>
              <w:bottom w:val="single" w:color="D9DEE6" w:sz="1"/>
              <w:right w:val="single" w:color="D9DEE6" w:sz="1"/>
            </w:tcBorders>
            <w:shd w:fill="5BD49A" w:val="clear"/>
            <w:tcMar>
              <w:top w:type="dxa" w:w="80"/>
              <w:left w:type="dxa" w:w="120"/>
              <w:bottom w:type="dxa" w:w="80"/>
              <w:right w:type="dxa" w:w="120"/>
            </w:tcMar>
            <w:vAlign w:val="center"/>
          </w:tcPr>
          <w:p>
            <w:pPr>
              <w:jc w:val="right"/>
            </w:pPr>
            <w:r>
              <w:rPr>
                <w:b/>
                <w:bCs/>
                <w:color w:val="1C2230"/>
                <w:sz w:val="20"/>
                <w:szCs w:val="20"/>
              </w:rPr>
              <w:t xml:space="preserve">$22,500</w:t>
            </w:r>
          </w:p>
        </w:tc>
      </w:tr>
    </w:tbl>
    <w:p>
      <w:pPr>
        <w:spacing w:after="60" w:line="276"/>
        <w:jc w:val="left"/>
      </w:pPr>
      <w:r>
        <w:rPr>
          <w:sz w:val="22"/>
          <w:szCs w:val="22"/>
        </w:rPr>
        <w:t xml:space="preserve">Fees are fixed for the scope described and exclude applicable taxes. Video overage beyond 250 per event and out-of-scope work are billed separately: video overage at $[X] per video; out-of-scope/change-order work at $150/hour (one-hour minimum).</w:t>
      </w:r>
    </w:p>
    <w:p>
      <w:pPr>
        <w:pStyle w:val="Heading1"/>
      </w:pPr>
      <w:r>
        <w:t xml:space="preserve">8.  Payment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360"/>
        <w:gridCol w:w="1800"/>
      </w:tblGrid>
      <w:tr>
        <w:trPr>
          <w:tblHeader/>
        </w:trPr>
        <w:tc>
          <w:tcPr>
            <w:tcW w:type="dxa" w:w="2200"/>
            <w:tcBorders>
              <w:top w:val="single" w:color="D9DEE6" w:sz="1"/>
              <w:left w:val="single" w:color="D9DEE6" w:sz="1"/>
              <w:bottom w:val="single" w:color="D9DEE6" w:sz="1"/>
              <w:right w:val="single" w:color="D9DEE6" w:sz="1"/>
            </w:tcBorders>
            <w:shd w:fill="1C2230" w:val="clear"/>
            <w:tcMar>
              <w:top w:type="dxa" w:w="80"/>
              <w:left w:type="dxa" w:w="120"/>
              <w:bottom w:type="dxa" w:w="80"/>
              <w:right w:type="dxa" w:w="120"/>
            </w:tcMar>
            <w:vAlign w:val="center"/>
          </w:tcPr>
          <w:p>
            <w:r>
              <w:rPr>
                <w:b/>
                <w:bCs/>
                <w:color w:val="FFFFFF"/>
                <w:sz w:val="20"/>
                <w:szCs w:val="20"/>
              </w:rPr>
              <w:t xml:space="preserve">Milestone</w:t>
            </w:r>
          </w:p>
        </w:tc>
        <w:tc>
          <w:tcPr>
            <w:tcW w:type="dxa" w:w="5360"/>
            <w:tcBorders>
              <w:top w:val="single" w:color="D9DEE6" w:sz="1"/>
              <w:left w:val="single" w:color="D9DEE6" w:sz="1"/>
              <w:bottom w:val="single" w:color="D9DEE6" w:sz="1"/>
              <w:right w:val="single" w:color="D9DEE6" w:sz="1"/>
            </w:tcBorders>
            <w:shd w:fill="1C2230" w:val="clear"/>
            <w:tcMar>
              <w:top w:type="dxa" w:w="80"/>
              <w:left w:type="dxa" w:w="120"/>
              <w:bottom w:type="dxa" w:w="80"/>
              <w:right w:type="dxa" w:w="120"/>
            </w:tcMar>
            <w:vAlign w:val="center"/>
          </w:tcPr>
          <w:p>
            <w:r>
              <w:rPr>
                <w:b/>
                <w:bCs/>
                <w:color w:val="FFFFFF"/>
                <w:sz w:val="20"/>
                <w:szCs w:val="20"/>
              </w:rPr>
              <w:t xml:space="preserve">Trigger</w:t>
            </w:r>
          </w:p>
        </w:tc>
        <w:tc>
          <w:tcPr>
            <w:tcW w:type="dxa" w:w="1800"/>
            <w:tcBorders>
              <w:top w:val="single" w:color="D9DEE6" w:sz="1"/>
              <w:left w:val="single" w:color="D9DEE6" w:sz="1"/>
              <w:bottom w:val="single" w:color="D9DEE6" w:sz="1"/>
              <w:right w:val="single" w:color="D9DEE6" w:sz="1"/>
            </w:tcBorders>
            <w:shd w:fill="1C2230" w:val="clear"/>
            <w:tcMar>
              <w:top w:type="dxa" w:w="80"/>
              <w:left w:type="dxa" w:w="120"/>
              <w:bottom w:type="dxa" w:w="80"/>
              <w:right w:type="dxa" w:w="120"/>
            </w:tcMar>
            <w:vAlign w:val="center"/>
          </w:tcPr>
          <w:p>
            <w:r>
              <w:rPr>
                <w:b/>
                <w:bCs/>
                <w:color w:val="FFFFFF"/>
                <w:sz w:val="20"/>
                <w:szCs w:val="20"/>
              </w:rPr>
              <w:t xml:space="preserve">Amount</w:t>
            </w:r>
          </w:p>
        </w:tc>
      </w:tr>
      <w:tr>
        <w:tc>
          <w:tcPr>
            <w:tcW w:type="dxa" w:w="2200"/>
            <w:tcBorders>
              <w:top w:val="single" w:color="D9DEE6" w:sz="1"/>
              <w:left w:val="single" w:color="D9DEE6" w:sz="1"/>
              <w:bottom w:val="single" w:color="D9DEE6" w:sz="1"/>
              <w:right w:val="single" w:color="D9DEE6" w:sz="1"/>
            </w:tcBorders>
            <w:tcMar>
              <w:top w:type="dxa" w:w="80"/>
              <w:left w:type="dxa" w:w="120"/>
              <w:bottom w:type="dxa" w:w="80"/>
              <w:right w:type="dxa" w:w="120"/>
            </w:tcMar>
            <w:vAlign w:val="center"/>
          </w:tcPr>
          <w:p>
            <w:pPr>
              <w:jc w:val="left"/>
            </w:pPr>
            <w:r>
              <w:rPr>
                <w:b w:val="false"/>
                <w:bCs w:val="false"/>
                <w:color w:val="000000"/>
                <w:sz w:val="20"/>
                <w:szCs w:val="20"/>
              </w:rPr>
              <w:t xml:space="preserve">1. Advance (50%)</w:t>
            </w:r>
          </w:p>
        </w:tc>
        <w:tc>
          <w:tcPr>
            <w:tcW w:type="dxa" w:w="5360"/>
            <w:tcBorders>
              <w:top w:val="single" w:color="D9DEE6" w:sz="1"/>
              <w:left w:val="single" w:color="D9DEE6" w:sz="1"/>
              <w:bottom w:val="single" w:color="D9DEE6" w:sz="1"/>
              <w:right w:val="single" w:color="D9DEE6" w:sz="1"/>
            </w:tcBorders>
            <w:tcMar>
              <w:top w:type="dxa" w:w="80"/>
              <w:left w:type="dxa" w:w="120"/>
              <w:bottom w:type="dxa" w:w="80"/>
              <w:right w:type="dxa" w:w="120"/>
            </w:tcMar>
            <w:vAlign w:val="center"/>
          </w:tcPr>
          <w:p>
            <w:pPr>
              <w:jc w:val="left"/>
            </w:pPr>
            <w:r>
              <w:rPr>
                <w:b w:val="false"/>
                <w:bCs w:val="false"/>
                <w:color w:val="000000"/>
                <w:sz w:val="20"/>
                <w:szCs w:val="20"/>
              </w:rPr>
              <w:t xml:space="preserve">Due upon execution of this SOW, before configuration work begins</w:t>
            </w:r>
          </w:p>
        </w:tc>
        <w:tc>
          <w:tcPr>
            <w:tcW w:type="dxa" w:w="1800"/>
            <w:tcBorders>
              <w:top w:val="single" w:color="D9DEE6" w:sz="1"/>
              <w:left w:val="single" w:color="D9DEE6" w:sz="1"/>
              <w:bottom w:val="single" w:color="D9DEE6" w:sz="1"/>
              <w:right w:val="single" w:color="D9DEE6" w:sz="1"/>
            </w:tcBorders>
            <w:tcMar>
              <w:top w:type="dxa" w:w="80"/>
              <w:left w:type="dxa" w:w="120"/>
              <w:bottom w:type="dxa" w:w="80"/>
              <w:right w:type="dxa" w:w="120"/>
            </w:tcMar>
            <w:vAlign w:val="center"/>
          </w:tcPr>
          <w:p>
            <w:pPr>
              <w:jc w:val="right"/>
            </w:pPr>
            <w:r>
              <w:rPr>
                <w:b w:val="false"/>
                <w:bCs w:val="false"/>
                <w:color w:val="000000"/>
                <w:sz w:val="20"/>
                <w:szCs w:val="20"/>
              </w:rPr>
              <w:t xml:space="preserve">$11,250</w:t>
            </w:r>
          </w:p>
        </w:tc>
      </w:tr>
      <w:tr>
        <w:tc>
          <w:tcPr>
            <w:tcW w:type="dxa" w:w="2200"/>
            <w:tcBorders>
              <w:top w:val="single" w:color="D9DEE6" w:sz="1"/>
              <w:left w:val="single" w:color="D9DEE6" w:sz="1"/>
              <w:bottom w:val="single" w:color="D9DEE6" w:sz="1"/>
              <w:right w:val="single" w:color="D9DEE6" w:sz="1"/>
            </w:tcBorders>
            <w:shd w:fill="EAF8F1" w:val="clear"/>
            <w:tcMar>
              <w:top w:type="dxa" w:w="80"/>
              <w:left w:type="dxa" w:w="120"/>
              <w:bottom w:type="dxa" w:w="80"/>
              <w:right w:type="dxa" w:w="120"/>
            </w:tcMar>
            <w:vAlign w:val="center"/>
          </w:tcPr>
          <w:p>
            <w:pPr>
              <w:jc w:val="left"/>
            </w:pPr>
            <w:r>
              <w:rPr>
                <w:b w:val="false"/>
                <w:bCs w:val="false"/>
                <w:color w:val="000000"/>
                <w:sz w:val="20"/>
                <w:szCs w:val="20"/>
              </w:rPr>
              <w:t xml:space="preserve">2. First release (50%)</w:t>
            </w:r>
          </w:p>
        </w:tc>
        <w:tc>
          <w:tcPr>
            <w:tcW w:type="dxa" w:w="5360"/>
            <w:tcBorders>
              <w:top w:val="single" w:color="D9DEE6" w:sz="1"/>
              <w:left w:val="single" w:color="D9DEE6" w:sz="1"/>
              <w:bottom w:val="single" w:color="D9DEE6" w:sz="1"/>
              <w:right w:val="single" w:color="D9DEE6" w:sz="1"/>
            </w:tcBorders>
            <w:shd w:fill="EAF8F1" w:val="clear"/>
            <w:tcMar>
              <w:top w:type="dxa" w:w="80"/>
              <w:left w:type="dxa" w:w="120"/>
              <w:bottom w:type="dxa" w:w="80"/>
              <w:right w:type="dxa" w:w="120"/>
            </w:tcMar>
            <w:vAlign w:val="center"/>
          </w:tcPr>
          <w:p>
            <w:pPr>
              <w:jc w:val="left"/>
            </w:pPr>
            <w:r>
              <w:rPr>
                <w:b w:val="false"/>
                <w:bCs w:val="false"/>
                <w:color w:val="000000"/>
                <w:sz w:val="20"/>
                <w:szCs w:val="20"/>
              </w:rPr>
              <w:t xml:space="preserve">Due upon go-live (first release) of the first activation (Event 1)</w:t>
            </w:r>
          </w:p>
        </w:tc>
        <w:tc>
          <w:tcPr>
            <w:tcW w:type="dxa" w:w="1800"/>
            <w:tcBorders>
              <w:top w:val="single" w:color="D9DEE6" w:sz="1"/>
              <w:left w:val="single" w:color="D9DEE6" w:sz="1"/>
              <w:bottom w:val="single" w:color="D9DEE6" w:sz="1"/>
              <w:right w:val="single" w:color="D9DEE6" w:sz="1"/>
            </w:tcBorders>
            <w:shd w:fill="EAF8F1" w:val="clear"/>
            <w:tcMar>
              <w:top w:type="dxa" w:w="80"/>
              <w:left w:type="dxa" w:w="120"/>
              <w:bottom w:type="dxa" w:w="80"/>
              <w:right w:type="dxa" w:w="120"/>
            </w:tcMar>
            <w:vAlign w:val="center"/>
          </w:tcPr>
          <w:p>
            <w:pPr>
              <w:jc w:val="right"/>
            </w:pPr>
            <w:r>
              <w:rPr>
                <w:b w:val="false"/>
                <w:bCs w:val="false"/>
                <w:color w:val="000000"/>
                <w:sz w:val="20"/>
                <w:szCs w:val="20"/>
              </w:rPr>
              <w:t xml:space="preserve">$11,250</w:t>
            </w:r>
          </w:p>
        </w:tc>
      </w:tr>
      <w:tr>
        <w:tc>
          <w:tcPr>
            <w:tcW w:type="dxa" w:w="2200"/>
            <w:tcBorders>
              <w:top w:val="single" w:color="D9DEE6" w:sz="1"/>
              <w:left w:val="single" w:color="D9DEE6" w:sz="1"/>
              <w:bottom w:val="single" w:color="D9DEE6" w:sz="1"/>
              <w:right w:val="single" w:color="D9DEE6" w:sz="1"/>
            </w:tcBorders>
            <w:shd w:fill="5BD49A" w:val="clear"/>
            <w:tcMar>
              <w:top w:type="dxa" w:w="80"/>
              <w:left w:type="dxa" w:w="120"/>
              <w:bottom w:type="dxa" w:w="80"/>
              <w:right w:type="dxa" w:w="120"/>
            </w:tcMar>
            <w:vAlign w:val="center"/>
          </w:tcPr>
          <w:p>
            <w:pPr>
              <w:jc w:val="left"/>
            </w:pPr>
            <w:r>
              <w:rPr>
                <w:b/>
                <w:bCs/>
                <w:color w:val="1C2230"/>
                <w:sz w:val="20"/>
                <w:szCs w:val="20"/>
              </w:rPr>
              <w:t xml:space="preserve">Total</w:t>
            </w:r>
          </w:p>
        </w:tc>
        <w:tc>
          <w:tcPr>
            <w:tcW w:type="dxa" w:w="5360"/>
            <w:tcBorders>
              <w:top w:val="single" w:color="D9DEE6" w:sz="1"/>
              <w:left w:val="single" w:color="D9DEE6" w:sz="1"/>
              <w:bottom w:val="single" w:color="D9DEE6" w:sz="1"/>
              <w:right w:val="single" w:color="D9DEE6" w:sz="1"/>
            </w:tcBorders>
            <w:shd w:fill="5BD49A" w:val="clear"/>
            <w:tcMar>
              <w:top w:type="dxa" w:w="80"/>
              <w:left w:type="dxa" w:w="120"/>
              <w:bottom w:type="dxa" w:w="80"/>
              <w:right w:type="dxa" w:w="120"/>
            </w:tcMar>
            <w:vAlign w:val="center"/>
          </w:tcPr>
          <w:p>
            <w:pPr>
              <w:jc w:val="left"/>
            </w:pPr>
            <w:r>
              <w:rPr>
                <w:b w:val="false"/>
                <w:bCs w:val="false"/>
                <w:color w:val="000000"/>
                <w:sz w:val="20"/>
                <w:szCs w:val="20"/>
              </w:rPr>
              <w:t xml:space="preserve"/>
            </w:r>
          </w:p>
        </w:tc>
        <w:tc>
          <w:tcPr>
            <w:tcW w:type="dxa" w:w="1800"/>
            <w:tcBorders>
              <w:top w:val="single" w:color="D9DEE6" w:sz="1"/>
              <w:left w:val="single" w:color="D9DEE6" w:sz="1"/>
              <w:bottom w:val="single" w:color="D9DEE6" w:sz="1"/>
              <w:right w:val="single" w:color="D9DEE6" w:sz="1"/>
            </w:tcBorders>
            <w:shd w:fill="5BD49A" w:val="clear"/>
            <w:tcMar>
              <w:top w:type="dxa" w:w="80"/>
              <w:left w:type="dxa" w:w="120"/>
              <w:bottom w:type="dxa" w:w="80"/>
              <w:right w:type="dxa" w:w="120"/>
            </w:tcMar>
            <w:vAlign w:val="center"/>
          </w:tcPr>
          <w:p>
            <w:pPr>
              <w:jc w:val="right"/>
            </w:pPr>
            <w:r>
              <w:rPr>
                <w:b/>
                <w:bCs/>
                <w:color w:val="1C2230"/>
                <w:sz w:val="20"/>
                <w:szCs w:val="20"/>
              </w:rPr>
              <w:t xml:space="preserve">$22,500</w:t>
            </w:r>
          </w:p>
        </w:tc>
      </w:tr>
    </w:tbl>
    <w:p>
      <w:pPr>
        <w:spacing w:after="140" w:line="276"/>
        <w:jc w:val="left"/>
      </w:pPr>
      <w:r>
        <w:rPr>
          <w:sz w:val="22"/>
          <w:szCs w:val="22"/>
        </w:rPr>
        <w:t xml:space="preserve">“First release” means the go-live of the first branded Boat Booth activation (Event 1). Invoices are due net fifteen (15) days from issue. Configuration work for an event commences after receipt of the applicable payment milestone and complete brand assets.</w:t>
      </w:r>
    </w:p>
    <w:p>
      <w:pPr>
        <w:pStyle w:val="Heading1"/>
      </w:pPr>
      <w:r>
        <w:t xml:space="preserve">9.  Content, Intellectual Property &amp; AI</w:t>
      </w:r>
    </w:p>
    <w:p>
      <w:pPr>
        <w:pStyle w:val="ListParagraph"/>
        <w:numPr>
          <w:ilvl w:val="0"/>
          <w:numId w:val="2"/>
        </w:numPr>
        <w:spacing w:after="80" w:line="270"/>
      </w:pPr>
      <w:r>
        <w:rPr>
          <w:sz w:val="22"/>
          <w:szCs w:val="22"/>
        </w:rPr>
        <w:t xml:space="preserve">Branded outputs generated for an event (photos and videos reflecting NMMA/Client branding) are owned by Client/NMMA upon full payment for the applicable milestone.</w:t>
      </w:r>
    </w:p>
    <w:p>
      <w:pPr>
        <w:pStyle w:val="ListParagraph"/>
        <w:numPr>
          <w:ilvl w:val="0"/>
          <w:numId w:val="2"/>
        </w:numPr>
        <w:spacing w:after="80" w:line="270"/>
      </w:pPr>
      <w:r>
        <w:rPr>
          <w:sz w:val="22"/>
          <w:szCs w:val="22"/>
        </w:rPr>
        <w:t xml:space="preserve">Provider retains all rights in the Boat Booth platform, templates, underlying tooling, and any pre-existing or independently developed technology.</w:t>
      </w:r>
    </w:p>
    <w:p>
      <w:pPr>
        <w:pStyle w:val="ListParagraph"/>
        <w:numPr>
          <w:ilvl w:val="0"/>
          <w:numId w:val="2"/>
        </w:numPr>
        <w:spacing w:after="80" w:line="270"/>
      </w:pPr>
      <w:r>
        <w:rPr>
          <w:sz w:val="22"/>
          <w:szCs w:val="22"/>
        </w:rPr>
        <w:t xml:space="preserve">AI-generated content may vary in appearance and is probabilistic by nature. </w:t>
      </w:r>
      <w:r>
        <w:rPr>
          <w:sz w:val="22"/>
          <w:szCs w:val="22"/>
        </w:rPr>
        <w:t xml:space="preserve">Provider will configure the activation for brand-appropriate output and apply reasonable content safeguards, but does not guarantee identical or defect-free results across all generations.</w:t>
      </w:r>
    </w:p>
    <w:p>
      <w:pPr>
        <w:pStyle w:val="ListParagraph"/>
        <w:numPr>
          <w:ilvl w:val="0"/>
          <w:numId w:val="2"/>
        </w:numPr>
        <w:spacing w:after="80" w:line="270"/>
      </w:pPr>
      <w:r>
        <w:rPr>
          <w:sz w:val="22"/>
          <w:szCs w:val="22"/>
        </w:rPr>
        <w:t xml:space="preserve">Client is responsible for attendee consents and for the rights to all assets and likenesses captured or displayed.</w:t>
      </w:r>
    </w:p>
    <w:p>
      <w:pPr>
        <w:pStyle w:val="Heading1"/>
      </w:pPr>
      <w:r>
        <w:t xml:space="preserve">10.  General Terms</w:t>
      </w:r>
    </w:p>
    <w:p>
      <w:pPr>
        <w:pStyle w:val="ListParagraph"/>
        <w:numPr>
          <w:ilvl w:val="0"/>
          <w:numId w:val="3"/>
        </w:numPr>
        <w:spacing w:after="80" w:line="270"/>
      </w:pPr>
      <w:r>
        <w:rPr>
          <w:sz w:val="22"/>
          <w:szCs w:val="22"/>
        </w:rPr>
        <w:t xml:space="preserve">Term. This SOW is effective on the Effective Date and continues until completion of all nine events or earlier termination as provided herein.</w:t>
      </w:r>
    </w:p>
    <w:p>
      <w:pPr>
        <w:pStyle w:val="ListParagraph"/>
        <w:numPr>
          <w:ilvl w:val="0"/>
          <w:numId w:val="3"/>
        </w:numPr>
        <w:spacing w:after="80" w:line="270"/>
      </w:pPr>
      <w:r>
        <w:rPr>
          <w:sz w:val="22"/>
          <w:szCs w:val="22"/>
        </w:rPr>
        <w:t xml:space="preserve">Termination. Either party may terminate for material breach not cured within ten (10) business days of written notice. The advance payment is non-refundable once configuration work has begun. Fees for events already delivered or in active configuration remain due.</w:t>
      </w:r>
    </w:p>
    <w:p>
      <w:pPr>
        <w:pStyle w:val="ListParagraph"/>
        <w:numPr>
          <w:ilvl w:val="0"/>
          <w:numId w:val="3"/>
        </w:numPr>
        <w:spacing w:after="80" w:line="270"/>
      </w:pPr>
      <w:r>
        <w:rPr>
          <w:sz w:val="22"/>
          <w:szCs w:val="22"/>
        </w:rPr>
        <w:t xml:space="preserve">Confidentiality. Each party will protect the other’s non-public information disclosed in connection with this engagement and use it only to perform under this SOW.</w:t>
      </w:r>
    </w:p>
    <w:p>
      <w:pPr>
        <w:pStyle w:val="ListParagraph"/>
        <w:numPr>
          <w:ilvl w:val="0"/>
          <w:numId w:val="3"/>
        </w:numPr>
        <w:spacing w:after="80" w:line="270"/>
      </w:pPr>
      <w:r>
        <w:rPr>
          <w:sz w:val="22"/>
          <w:szCs w:val="22"/>
        </w:rPr>
        <w:t xml:space="preserve">Limitation of liability. Provider’s total liability under this SOW will not exceed the total fees paid. Neither party is liable for indirect, incidental, or consequential damages.</w:t>
      </w:r>
    </w:p>
    <w:p>
      <w:pPr>
        <w:pStyle w:val="ListParagraph"/>
        <w:numPr>
          <w:ilvl w:val="0"/>
          <w:numId w:val="3"/>
        </w:numPr>
        <w:spacing w:after="80" w:line="270"/>
      </w:pPr>
      <w:r>
        <w:rPr>
          <w:sz w:val="22"/>
          <w:szCs w:val="22"/>
        </w:rPr>
        <w:t xml:space="preserve">Force majeure. Neither party is liable for delays or failures caused by events beyond reasonable control, including event cancellation, venue or connectivity failures, or third-party service outages.</w:t>
      </w:r>
    </w:p>
    <w:p>
      <w:pPr>
        <w:pStyle w:val="ListParagraph"/>
        <w:numPr>
          <w:ilvl w:val="0"/>
          <w:numId w:val="3"/>
        </w:numPr>
        <w:spacing w:after="80" w:line="270"/>
      </w:pPr>
      <w:r>
        <w:rPr>
          <w:sz w:val="22"/>
          <w:szCs w:val="22"/>
        </w:rPr>
        <w:t xml:space="preserve">Independent contractor. Provider performs as an independent contractor; nothing herein creates a partnership, employment, or agency relationship.</w:t>
      </w:r>
    </w:p>
    <w:p>
      <w:pPr>
        <w:pStyle w:val="ListParagraph"/>
        <w:numPr>
          <w:ilvl w:val="0"/>
          <w:numId w:val="3"/>
        </w:numPr>
        <w:spacing w:after="80" w:line="270"/>
      </w:pPr>
      <w:r>
        <w:rPr>
          <w:sz w:val="22"/>
          <w:szCs w:val="22"/>
        </w:rPr>
        <w:t xml:space="preserve">Entire agreement. This SOW is the entire agreement for the work described and supersedes prior discussions. Changes must be in writing and signed by both parties.</w:t>
      </w:r>
    </w:p>
    <w:p>
      <w:pPr>
        <w:pStyle w:val="Heading1"/>
      </w:pPr>
      <w:r>
        <w:t xml:space="preserve">11.  Authorization</w:t>
      </w:r>
    </w:p>
    <w:p>
      <w:pPr>
        <w:spacing w:after="360" w:line="276"/>
        <w:jc w:val="left"/>
      </w:pPr>
      <w:r>
        <w:rPr>
          <w:sz w:val="22"/>
          <w:szCs w:val="22"/>
        </w:rPr>
        <w:t xml:space="preserve">By signing below, the parties agree to the scope, schedule, and commercial terms set out in this Proposal &amp; Statement of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tc>
          <w:tcPr>
            <w:tcW w:type="dxa" w:w="4480"/>
            <w:tcBorders>
              <w:top w:val="none"/>
              <w:left w:val="none"/>
              <w:bottom w:val="none"/>
              <w:right w:val="none"/>
            </w:tcBorders>
          </w:tcPr>
          <w:p>
            <w:pPr>
              <w:spacing w:after="40" w:before="200"/>
            </w:pPr>
            <w:r>
              <w:rPr>
                <w:b/>
                <w:bCs/>
                <w:color w:val="1C2230"/>
                <w:sz w:val="22"/>
                <w:szCs w:val="22"/>
              </w:rPr>
              <w:t xml:space="preserve">Provider</w:t>
            </w:r>
          </w:p>
          <w:p>
            <w:pPr>
              <w:spacing w:after="0"/>
            </w:pPr>
            <w:r>
              <w:rPr>
                <w:sz w:val="22"/>
                <w:szCs w:val="22"/>
              </w:rPr>
              <w:t xml:space="preserve">Citrus Innovations Inc (d/b/a Requisor AI)</w:t>
            </w:r>
          </w:p>
          <w:p>
            <w:pPr>
              <w:pBdr>
                <w:bottom w:val="single" w:color="000000" w:sz="6" w:space="1"/>
              </w:pBdr>
              <w:spacing w:after="20" w:before="420"/>
            </w:pPr>
            <w:r>
              <w:t xml:space="preserve"/>
            </w:r>
          </w:p>
          <w:p>
            <w:pPr>
              <w:spacing w:after="200"/>
            </w:pPr>
            <w:r>
              <w:rPr>
                <w:color w:val="5A6472"/>
                <w:sz w:val="18"/>
                <w:szCs w:val="18"/>
              </w:rPr>
              <w:t xml:space="preserve">Signature</w:t>
            </w:r>
          </w:p>
          <w:p>
            <w:pPr>
              <w:pBdr>
                <w:bottom w:val="single" w:color="000000" w:sz="6" w:space="1"/>
              </w:pBdr>
              <w:spacing w:after="20" w:before="200"/>
            </w:pPr>
            <w:r>
              <w:t xml:space="preserve"/>
            </w:r>
          </w:p>
          <w:p>
            <w:pPr>
              <w:spacing w:after="200"/>
            </w:pPr>
            <w:r>
              <w:rPr>
                <w:color w:val="5A6472"/>
                <w:sz w:val="18"/>
                <w:szCs w:val="18"/>
              </w:rPr>
              <w:t xml:space="preserve">Name / Title</w:t>
            </w:r>
          </w:p>
          <w:p>
            <w:pPr>
              <w:pBdr>
                <w:bottom w:val="single" w:color="000000" w:sz="6" w:space="1"/>
              </w:pBdr>
              <w:spacing w:after="20" w:before="200"/>
            </w:pPr>
            <w:r>
              <w:t xml:space="preserve"/>
            </w:r>
          </w:p>
          <w:p>
            <w:pPr>
              <w:spacing w:after="200"/>
            </w:pPr>
            <w:r>
              <w:rPr>
                <w:color w:val="5A6472"/>
                <w:sz w:val="18"/>
                <w:szCs w:val="18"/>
              </w:rPr>
              <w:t xml:space="preserve">Date</w:t>
            </w:r>
          </w:p>
        </w:tc>
        <w:tc>
          <w:tcPr>
            <w:tcW w:type="dxa" w:w="400"/>
            <w:tcBorders>
              <w:top w:val="none"/>
              <w:left w:val="none"/>
              <w:bottom w:val="none"/>
              <w:right w:val="none"/>
            </w:tcBorders>
          </w:tcPr>
          <w:p>
            <w:r>
              <w:t xml:space="preserve"/>
            </w:r>
          </w:p>
        </w:tc>
        <w:tc>
          <w:tcPr>
            <w:tcW w:type="dxa" w:w="4480"/>
            <w:tcBorders>
              <w:top w:val="none"/>
              <w:left w:val="none"/>
              <w:bottom w:val="none"/>
              <w:right w:val="none"/>
            </w:tcBorders>
          </w:tcPr>
          <w:p>
            <w:pPr>
              <w:spacing w:after="40" w:before="200"/>
            </w:pPr>
            <w:r>
              <w:rPr>
                <w:b/>
                <w:bCs/>
                <w:color w:val="1C2230"/>
                <w:sz w:val="22"/>
                <w:szCs w:val="22"/>
              </w:rPr>
              <w:t xml:space="preserve">Client</w:t>
            </w:r>
          </w:p>
          <w:p>
            <w:pPr>
              <w:spacing w:after="0"/>
            </w:pPr>
            <w:r>
              <w:rPr>
                <w:sz w:val="22"/>
                <w:szCs w:val="22"/>
              </w:rPr>
              <w:t xml:space="preserve">Peak Technologies</w:t>
            </w:r>
          </w:p>
          <w:p>
            <w:pPr>
              <w:pBdr>
                <w:bottom w:val="single" w:color="000000" w:sz="6" w:space="1"/>
              </w:pBdr>
              <w:spacing w:after="20" w:before="420"/>
            </w:pPr>
            <w:r>
              <w:t xml:space="preserve"/>
            </w:r>
          </w:p>
          <w:p>
            <w:pPr>
              <w:spacing w:after="200"/>
            </w:pPr>
            <w:r>
              <w:rPr>
                <w:color w:val="5A6472"/>
                <w:sz w:val="18"/>
                <w:szCs w:val="18"/>
              </w:rPr>
              <w:t xml:space="preserve">Signature</w:t>
            </w:r>
          </w:p>
          <w:p>
            <w:pPr>
              <w:pBdr>
                <w:bottom w:val="single" w:color="000000" w:sz="6" w:space="1"/>
              </w:pBdr>
              <w:spacing w:after="20" w:before="200"/>
            </w:pPr>
            <w:r>
              <w:t xml:space="preserve"/>
            </w:r>
          </w:p>
          <w:p>
            <w:pPr>
              <w:spacing w:after="200"/>
            </w:pPr>
            <w:r>
              <w:rPr>
                <w:color w:val="5A6472"/>
                <w:sz w:val="18"/>
                <w:szCs w:val="18"/>
              </w:rPr>
              <w:t xml:space="preserve">Name / Title</w:t>
            </w:r>
          </w:p>
          <w:p>
            <w:pPr>
              <w:pBdr>
                <w:bottom w:val="single" w:color="000000" w:sz="6" w:space="1"/>
              </w:pBdr>
              <w:spacing w:after="20" w:before="200"/>
            </w:pPr>
            <w:r>
              <w:t xml:space="preserve"/>
            </w:r>
          </w:p>
          <w:p>
            <w:pPr>
              <w:spacing w:after="200"/>
            </w:pPr>
            <w:r>
              <w:rPr>
                <w:color w:val="5A6472"/>
                <w:sz w:val="18"/>
                <w:szCs w:val="18"/>
              </w:rPr>
              <w:t xml:space="preserve">Date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E6" w:sz="4" w:space="4"/>
      </w:pBdr>
      <w:tabs>
        <w:tab w:val="right" w:pos="9360"/>
      </w:tabs>
    </w:pPr>
    <w:r>
      <w:rPr>
        <w:color w:val="5A6472"/>
        <w:sz w:val="15"/>
        <w:szCs w:val="15"/>
      </w:rPr>
      <w:t xml:space="preserve">Confidential  •  Citrus Innovations Inc (d/b/a Requisor AI)</w:t>
    </w:r>
    <w:r>
      <w:rPr>
        <w:color w:val="5A6472"/>
        <w:sz w:val="15"/>
        <w:szCs w:val="15"/>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E6" w:sz="4" w:space="4"/>
      </w:pBdr>
      <w:tabs>
        <w:tab w:val="right" w:pos="9360"/>
      </w:tabs>
    </w:pPr>
    <w:r>
      <w:rPr>
        <w:b/>
        <w:bCs/>
        <w:color w:val="1C2230"/>
        <w:sz w:val="16"/>
        <w:szCs w:val="16"/>
      </w:rPr>
      <w:t xml:space="preserve">REQUISOR</w:t>
    </w:r>
    <w:r>
      <w:rPr>
        <w:b/>
        <w:bCs/>
        <w:color w:val="2E9E73"/>
        <w:sz w:val="16"/>
        <w:szCs w:val="16"/>
      </w:rPr>
      <w:t xml:space="preserve"> AI</w:t>
    </w:r>
    <w:r>
      <w:rPr>
        <w:color w:val="5A6472"/>
        <w:sz w:val="16"/>
        <w:szCs w:val="16"/>
      </w:rPr>
      <w:t xml:space="preserve">	Boat Booth — Proposal &amp; SOW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color w:val="2E9E73"/>
      </w:r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5BD49A" w:sz="8" w:space="4"/>
      </w:pBdr>
      <w:spacing w:after="160" w:before="300"/>
      <w:outlineLvl w:val="0"/>
    </w:pPr>
    <w:rPr>
      <w:rFonts w:ascii="Arial" w:cs="Arial" w:eastAsia="Arial" w:hAnsi="Arial"/>
      <w:b/>
      <w:bCs/>
      <w:color w:val="1C2230"/>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2E9E7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Boat Booth Proposal &amp; Statement of Work</dc:title>
  <dc:creator>Citrus Innovations Inc (Requisor AI)</dc:creator>
  <cp:lastModifiedBy>Un-named</cp:lastModifiedBy>
  <cp:revision>1</cp:revision>
  <dcterms:created xsi:type="dcterms:W3CDTF">2026-06-09T14:32:45.455Z</dcterms:created>
  <dcterms:modified xsi:type="dcterms:W3CDTF">2026-06-09T14:32:45.472Z</dcterms:modified>
</cp:coreProperties>
</file>

<file path=docProps/custom.xml><?xml version="1.0" encoding="utf-8"?>
<Properties xmlns="http://schemas.openxmlformats.org/officeDocument/2006/custom-properties" xmlns:vt="http://schemas.openxmlformats.org/officeDocument/2006/docPropsVTypes"/>
</file>