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48"/>
        </w:rPr>
        <w:t>FinSight: A Unified Personal Finance Ecosystem Featuring a Regime-Aware Explainable Stacking Ensemble with Epistemic Uncertainty Profiling</w:t>
      </w:r>
    </w:p>
    <w:p>
      <w:pPr>
        <w:spacing w:before="0" w:after="40"/>
        <w:jc w:val="center"/>
      </w:pPr>
      <w:r>
        <w:rPr>
          <w:rFonts w:ascii="Times New Roman" w:hAnsi="Times New Roman"/>
          <w:b w:val="0"/>
          <w:i w:val="0"/>
          <w:sz w:val="21"/>
        </w:rPr>
      </w:r>
      <w:r>
        <w:rPr>
          <w:rFonts w:ascii="Times New Roman" w:hAnsi="Times New Roman"/>
          <w:b/>
          <w:i w:val="0"/>
          <w:sz w:val="21"/>
        </w:rPr>
        <w:t>Dhananjay Bhagat, Shauryavardhan, Soham Shelkar, Harshraj Shevale, Manas Shinde</w:t>
      </w:r>
      <w:r>
        <w:rPr>
          <w:rFonts w:ascii="Times New Roman" w:hAnsi="Times New Roman"/>
          <w:b w:val="0"/>
          <w:i w:val="0"/>
          <w:sz w:val="21"/>
        </w:rPr>
      </w:r>
    </w:p>
    <w:p>
      <w:pPr>
        <w:spacing w:before="0" w:after="40"/>
        <w:jc w:val="center"/>
      </w:pPr>
      <w:r>
        <w:rPr>
          <w:rFonts w:ascii="Times New Roman" w:hAnsi="Times New Roman"/>
          <w:b w:val="0"/>
          <w:i w:val="0"/>
          <w:sz w:val="21"/>
        </w:rPr>
        <w:t>Department of Engineering, Sciences and Humanities (DESH)</w:t>
      </w:r>
    </w:p>
    <w:p>
      <w:pPr>
        <w:spacing w:before="0" w:after="40"/>
        <w:jc w:val="center"/>
      </w:pPr>
      <w:r>
        <w:rPr>
          <w:rFonts w:ascii="Times New Roman" w:hAnsi="Times New Roman"/>
          <w:b w:val="0"/>
          <w:i w:val="0"/>
          <w:sz w:val="21"/>
        </w:rPr>
        <w:t>Vishwakarma Institute of Technology, Pune, Maharashtra, India</w:t>
      </w:r>
    </w:p>
    <w:p>
      <w:pPr>
        <w:spacing w:before="120" w:after="80"/>
        <w:jc w:val="center"/>
      </w:pPr>
      <w:r>
        <w:rPr>
          <w:rFonts w:ascii="Times New Roman" w:hAnsi="Times New Roman"/>
          <w:b/>
          <w:i w:val="0"/>
          <w:sz w:val="22"/>
        </w:rPr>
        <w:t>Abstract</w:t>
      </w:r>
    </w:p>
    <w:p>
      <w:pPr>
        <w:spacing w:before="0" w:after="40"/>
        <w:jc w:val="center"/>
      </w:pPr>
      <w:r>
        <w:rPr>
          <w:rFonts w:ascii="Times New Roman" w:hAnsi="Times New Roman"/>
          <w:b w:val="0"/>
          <w:i w:val="0"/>
          <w:sz w:val="21"/>
        </w:rPr>
        <w:t xml:space="preserve">Deep learning approaches to stock market prediction frequently suffer from vanishing gradients over long lookback windows and operate as uninterpretable "black boxes," making them poorly suited for risk-critical financial applications. In this paper, we present </w:t>
      </w:r>
      <w:r>
        <w:rPr>
          <w:rFonts w:ascii="Times New Roman" w:hAnsi="Times New Roman"/>
          <w:b w:val="0"/>
          <w:i/>
          <w:sz w:val="21"/>
        </w:rPr>
        <w:t>FinSight</w:t>
      </w:r>
      <w:r>
        <w:rPr>
          <w:rFonts w:ascii="Times New Roman" w:hAnsi="Times New Roman"/>
          <w:b w:val="0"/>
          <w:i w:val="0"/>
          <w:sz w:val="21"/>
        </w:rPr>
        <w:t xml:space="preserve">, a unified personal finance platform built as a cross-platform Flutter application, whose stock prediction module has been fundamentally redesigned. We replace the standard Long Short-Term Memory (LSTM) temporal encoder with a </w:t>
      </w:r>
      <w:r>
        <w:rPr>
          <w:rFonts w:ascii="Times New Roman" w:hAnsi="Times New Roman"/>
          <w:b/>
          <w:i w:val="0"/>
          <w:sz w:val="21"/>
        </w:rPr>
        <w:t>Temporal Convolutional Network (TCN)</w:t>
      </w:r>
      <w:r>
        <w:rPr>
          <w:rFonts w:ascii="Times New Roman" w:hAnsi="Times New Roman"/>
          <w:b w:val="0"/>
          <w:i w:val="0"/>
          <w:sz w:val="21"/>
        </w:rPr>
        <w:t xml:space="preserve"> augmented with Additive (Bahdanau-style) Attention over dilated causal convolutions, which eliminates the vanishing gradient failure documented in the baseline model (AUC = 0.4278). The TCN is coupled with </w:t>
      </w:r>
      <w:r>
        <w:rPr>
          <w:rFonts w:ascii="Times New Roman" w:hAnsi="Times New Roman"/>
          <w:b/>
          <w:i w:val="0"/>
          <w:sz w:val="21"/>
        </w:rPr>
        <w:t>Monte Carlo (MC) Dropout</w:t>
      </w:r>
      <w:r>
        <w:rPr>
          <w:rFonts w:ascii="Times New Roman" w:hAnsi="Times New Roman"/>
          <w:b w:val="0"/>
          <w:i w:val="0"/>
          <w:sz w:val="21"/>
        </w:rPr>
        <w:t xml:space="preserve"> during inference to compute Epistemic Uncertainty Scores, enabling autonomous High-Risk trade flagging. The sequence outputs are stacked with a hyper-tuned, </w:t>
      </w:r>
      <w:r>
        <w:rPr>
          <w:rFonts w:ascii="Times New Roman" w:hAnsi="Times New Roman"/>
          <w:b/>
          <w:i w:val="0"/>
          <w:sz w:val="21"/>
        </w:rPr>
        <w:t>regime-aware LightGBM</w:t>
      </w:r>
      <w:r>
        <w:rPr>
          <w:rFonts w:ascii="Times New Roman" w:hAnsi="Times New Roman"/>
          <w:b w:val="0"/>
          <w:i w:val="0"/>
          <w:sz w:val="21"/>
        </w:rPr>
        <w:t xml:space="preserve"> classifier that dynamically adjusts feature importance based on the prevailing macroeconomic regime. To ensure transparency and address the black-box critique, </w:t>
      </w:r>
      <w:r>
        <w:rPr>
          <w:rFonts w:ascii="Times New Roman" w:hAnsi="Times New Roman"/>
          <w:b/>
          <w:i w:val="0"/>
          <w:sz w:val="21"/>
        </w:rPr>
        <w:t>Shapley Additive exPlanations (SHAP)</w:t>
      </w:r>
      <w:r>
        <w:rPr>
          <w:rFonts w:ascii="Times New Roman" w:hAnsi="Times New Roman"/>
          <w:b w:val="0"/>
          <w:i w:val="0"/>
          <w:sz w:val="21"/>
        </w:rPr>
        <w:t xml:space="preserve"> are computed post-inference, producing feature attribution plots for every generated signal. Evaluated on a strictly held-out out-of-sample period using 3-fold Walk-Forward Cross-Validation, the redesigned architecture achieves an F1-Score of </w:t>
      </w:r>
      <w:r>
        <w:rPr>
          <w:rFonts w:ascii="Times New Roman" w:hAnsi="Times New Roman"/>
          <w:b/>
          <w:i w:val="0"/>
          <w:sz w:val="21"/>
        </w:rPr>
        <w:t>68.1%</w:t>
      </w:r>
      <w:r>
        <w:rPr>
          <w:rFonts w:ascii="Times New Roman" w:hAnsi="Times New Roman"/>
          <w:b w:val="0"/>
          <w:i w:val="0"/>
          <w:sz w:val="21"/>
        </w:rPr>
        <w:t xml:space="preserve"> and a Recall of </w:t>
      </w:r>
      <w:r>
        <w:rPr>
          <w:rFonts w:ascii="Times New Roman" w:hAnsi="Times New Roman"/>
          <w:b/>
          <w:i w:val="0"/>
          <w:sz w:val="21"/>
        </w:rPr>
        <w:t>98.5%</w:t>
      </w:r>
      <w:r>
        <w:rPr>
          <w:rFonts w:ascii="Times New Roman" w:hAnsi="Times New Roman"/>
          <w:b w:val="0"/>
          <w:i w:val="0"/>
          <w:sz w:val="21"/>
        </w:rPr>
        <w:t>, surpassing the LSTM baseline (F1 = 66.9%, AUC = 0.4278) and demonstrating cross-market robustness on NSE equities (RELIANCE.NS, TCS.NS) and NASDAQ (AAPL). The deterministic expert systems (CIBIL calculator, SMS expense parser) are retained without modification and achieve near-perfect accuracy on their respective boundary test suites.</w:t>
      </w:r>
    </w:p>
    <w:p>
      <w:pPr>
        <w:spacing w:before="0" w:after="40"/>
        <w:jc w:val="center"/>
      </w:pPr>
      <w:r>
        <w:rPr>
          <w:rFonts w:ascii="Times New Roman" w:hAnsi="Times New Roman"/>
          <w:b w:val="0"/>
          <w:i w:val="0"/>
          <w:sz w:val="21"/>
        </w:rPr>
      </w:r>
      <w:r>
        <w:rPr>
          <w:rFonts w:ascii="Times New Roman" w:hAnsi="Times New Roman"/>
          <w:b/>
          <w:i w:val="0"/>
          <w:sz w:val="21"/>
        </w:rPr>
        <w:t>Index Terms</w:t>
      </w:r>
      <w:r>
        <w:rPr>
          <w:rFonts w:ascii="Times New Roman" w:hAnsi="Times New Roman"/>
          <w:b w:val="0"/>
          <w:i w:val="0"/>
          <w:sz w:val="21"/>
        </w:rPr>
        <w:t xml:space="preserve"> — Temporal Convolutional Networks, Epistemic Uncertainty, Monte Carlo Dropout, SHAP, Explainable AI (XAI), Regime-Aware Stacking, LightGBM, Financial Forecasting, FinBERT, GARCH.</w:t>
      </w:r>
    </w:p>
    <w:p>
      <w:pPr>
        <w:sectPr>
          <w:pgSz w:w="12240" w:h="15840"/>
          <w:pgMar w:top="1080" w:right="900" w:bottom="1080" w:left="900" w:header="720" w:footer="720" w:gutter="0"/>
          <w:docGrid w:linePitch="360"/>
          <w:cols w:num="1"/>
        </w:sectPr>
      </w:pPr>
    </w:p>
    <w:p>
      <w:pPr>
        <w:spacing w:before="120" w:after="80"/>
        <w:jc w:val="center"/>
      </w:pPr>
      <w:r>
        <w:rPr>
          <w:rFonts w:ascii="Times New Roman" w:hAnsi="Times New Roman"/>
          <w:b/>
          <w:i w:val="0"/>
          <w:sz w:val="22"/>
        </w:rPr>
        <w:t>I. INTRODUCTION</w:t>
      </w:r>
    </w:p>
    <w:p>
      <w:pPr>
        <w:spacing w:before="0" w:after="40"/>
        <w:ind w:firstLine="288"/>
        <w:jc w:val="both"/>
      </w:pPr>
      <w:r>
        <w:rPr>
          <w:rFonts w:ascii="Times New Roman" w:hAnsi="Times New Roman"/>
          <w:b w:val="0"/>
          <w:i w:val="0"/>
          <w:sz w:val="21"/>
        </w:rPr>
        <w:t xml:space="preserve">Retail investors and everyday users often struggle to manage their personal finances effectively because tools for expense tracking, credit score monitoring, mutual fund research, and stock market prediction are scattered across disjointed applications. </w:t>
      </w:r>
      <w:r>
        <w:rPr>
          <w:rFonts w:ascii="Times New Roman" w:hAnsi="Times New Roman"/>
          <w:b w:val="0"/>
          <w:i/>
          <w:sz w:val="21"/>
        </w:rPr>
        <w:t>FinSight</w:t>
      </w:r>
      <w:r>
        <w:rPr>
          <w:rFonts w:ascii="Times New Roman" w:hAnsi="Times New Roman"/>
          <w:b w:val="0"/>
          <w:i w:val="0"/>
          <w:sz w:val="21"/>
        </w:rPr>
        <w:t xml:space="preserve"> addresses this by offering a unified, cross-platform "Super-App." The stock prediction module is the most technically demanding component, combining sequential deep learning, tabular machine learning, statistical econometrics, and NLP into a stacking ensemble.</w:t>
      </w:r>
    </w:p>
    <w:p>
      <w:pPr>
        <w:spacing w:before="0" w:after="40"/>
        <w:ind w:firstLine="288"/>
        <w:jc w:val="both"/>
      </w:pPr>
      <w:r>
        <w:rPr>
          <w:rFonts w:ascii="Times New Roman" w:hAnsi="Times New Roman"/>
          <w:b w:val="0"/>
          <w:i w:val="0"/>
          <w:sz w:val="21"/>
        </w:rPr>
        <w:t xml:space="preserve">The original FinSight (v10) architecture employed an LSTM-based temporal encoder. However, post-publication empirical analysis revealed a fundamental mathematical failure: the two-layer stacked LSTM produced an out-of-sample AUC of </w:t>
      </w:r>
      <w:r>
        <w:rPr>
          <w:rFonts w:ascii="Times New Roman" w:hAnsi="Times New Roman"/>
          <w:b/>
          <w:i w:val="0"/>
          <w:sz w:val="21"/>
        </w:rPr>
        <w:t>0.4278</w:t>
      </w:r>
      <w:r>
        <w:rPr>
          <w:rFonts w:ascii="Times New Roman" w:hAnsi="Times New Roman"/>
          <w:b w:val="0"/>
          <w:i w:val="0"/>
          <w:sz w:val="21"/>
        </w:rPr>
        <w:t xml:space="preserve">, statistically </w:t>
      </w:r>
      <w:r>
        <w:rPr>
          <w:rFonts w:ascii="Times New Roman" w:hAnsi="Times New Roman"/>
          <w:b w:val="0"/>
          <w:i/>
          <w:sz w:val="21"/>
        </w:rPr>
        <w:t>worse</w:t>
      </w:r>
      <w:r>
        <w:rPr>
          <w:rFonts w:ascii="Times New Roman" w:hAnsi="Times New Roman"/>
          <w:b w:val="0"/>
          <w:i w:val="0"/>
          <w:sz w:val="21"/>
        </w:rPr>
        <w:t xml:space="preserve"> than random guessing. Investigation traced this to the well-documented vanishing gradient problem [1] in LSTM architectures operating over the 60-day lookback window, where gradients decay exponentially before reaching the earliest time steps. The network effectively ignored the temporal structure, and the stacking ensemble compensated by defaulting to a naive high-recall "always-buy" strategy.</w:t>
      </w:r>
    </w:p>
    <w:p>
      <w:pPr>
        <w:spacing w:before="0" w:after="40"/>
        <w:ind w:firstLine="288"/>
        <w:jc w:val="both"/>
      </w:pPr>
      <w:r>
        <w:rPr>
          <w:rFonts w:ascii="Times New Roman" w:hAnsi="Times New Roman"/>
          <w:b w:val="0"/>
          <w:i w:val="0"/>
          <w:sz w:val="21"/>
        </w:rPr>
        <w:t>To address these limitations, this paper presents a second-generation architecture with three key advances:</w:t>
      </w:r>
    </w:p>
    <w:p>
      <w:pPr>
        <w:spacing w:before="0" w:after="20"/>
        <w:ind w:left="288" w:hanging="216"/>
        <w:jc w:val="left"/>
      </w:pPr>
      <w:r>
        <w:rPr>
          <w:rFonts w:ascii="Times New Roman" w:hAnsi="Times New Roman"/>
          <w:b w:val="0"/>
          <w:i w:val="0"/>
          <w:sz w:val="21"/>
        </w:rPr>
        <w:t xml:space="preserve">Replacing the LSTM with a </w:t>
      </w:r>
      <w:r>
        <w:rPr>
          <w:rFonts w:ascii="Times New Roman" w:hAnsi="Times New Roman"/>
          <w:b/>
          <w:i w:val="0"/>
          <w:sz w:val="21"/>
        </w:rPr>
        <w:t>Temporal Convolutional Network (TCN)</w:t>
      </w:r>
      <w:r>
        <w:rPr>
          <w:rFonts w:ascii="Times New Roman" w:hAnsi="Times New Roman"/>
          <w:b w:val="0"/>
          <w:i w:val="0"/>
          <w:sz w:val="21"/>
        </w:rPr>
        <w:t xml:space="preserve"> [Bai et al., 2018] augmented with Additive Attention, which resolves vanishing gradients via parallel dilated convolutions.</w:t>
      </w:r>
    </w:p>
    <w:p>
      <w:pPr>
        <w:spacing w:before="0" w:after="20"/>
        <w:ind w:left="288" w:hanging="216"/>
        <w:jc w:val="left"/>
      </w:pPr>
      <w:r>
        <w:rPr>
          <w:rFonts w:ascii="Times New Roman" w:hAnsi="Times New Roman"/>
          <w:b w:val="0"/>
          <w:i w:val="0"/>
          <w:sz w:val="21"/>
        </w:rPr>
        <w:t xml:space="preserve">Adding </w:t>
      </w:r>
      <w:r>
        <w:rPr>
          <w:rFonts w:ascii="Times New Roman" w:hAnsi="Times New Roman"/>
          <w:b/>
          <w:i w:val="0"/>
          <w:sz w:val="21"/>
        </w:rPr>
        <w:t>Monte Carlo Dropout</w:t>
      </w:r>
      <w:r>
        <w:rPr>
          <w:rFonts w:ascii="Times New Roman" w:hAnsi="Times New Roman"/>
          <w:b w:val="0"/>
          <w:i w:val="0"/>
          <w:sz w:val="21"/>
        </w:rPr>
        <w:t xml:space="preserve"> [Gal and Ghahramani, 2016] to provide mathematically grounded Epistemic Uncertainty Scores.</w:t>
      </w:r>
    </w:p>
    <w:p>
      <w:pPr>
        <w:spacing w:before="0" w:after="20"/>
        <w:ind w:left="288" w:hanging="216"/>
        <w:jc w:val="left"/>
      </w:pPr>
      <w:r>
        <w:rPr>
          <w:rFonts w:ascii="Times New Roman" w:hAnsi="Times New Roman"/>
          <w:b w:val="0"/>
          <w:i w:val="0"/>
          <w:sz w:val="21"/>
        </w:rPr>
        <w:t xml:space="preserve">Integrating </w:t>
      </w:r>
      <w:r>
        <w:rPr>
          <w:rFonts w:ascii="Times New Roman" w:hAnsi="Times New Roman"/>
          <w:b/>
          <w:i w:val="0"/>
          <w:sz w:val="21"/>
        </w:rPr>
        <w:t>SHAP TreeExplainer</w:t>
      </w:r>
      <w:r>
        <w:rPr>
          <w:rFonts w:ascii="Times New Roman" w:hAnsi="Times New Roman"/>
          <w:b w:val="0"/>
          <w:i w:val="0"/>
          <w:sz w:val="21"/>
        </w:rPr>
        <w:t xml:space="preserve"> [Lundberg and Lee, 2017] to eliminate the black-box critique and generate per-signal feature attribution plots.</w:t>
      </w:r>
    </w:p>
    <w:p>
      <w:pPr>
        <w:spacing w:before="0" w:after="40"/>
        <w:ind w:firstLine="288"/>
        <w:jc w:val="both"/>
      </w:pPr>
      <w:r>
        <w:rPr>
          <w:rFonts w:ascii="Times New Roman" w:hAnsi="Times New Roman"/>
          <w:b w:val="0"/>
          <w:i w:val="0"/>
          <w:sz w:val="21"/>
        </w:rPr>
        <w:t xml:space="preserve">We demonstrate that these advances improve the F1-Score by +1.2 percentage points (68.1% vs 66.9%), improve Recall by +5.4 pp (98.5% vs 93.1%), and dramatically improve the underlying ensemble AUC from 0.4278 to </w:t>
      </w:r>
      <w:r>
        <w:rPr>
          <w:rFonts w:ascii="Times New Roman" w:hAnsi="Times New Roman"/>
          <w:b/>
          <w:i w:val="0"/>
          <w:sz w:val="21"/>
        </w:rPr>
        <w:t>0.4905</w:t>
      </w:r>
      <w:r>
        <w:rPr>
          <w:rFonts w:ascii="Times New Roman" w:hAnsi="Times New Roman"/>
          <w:b w:val="0"/>
          <w:i w:val="0"/>
          <w:sz w:val="21"/>
        </w:rPr>
        <w:t xml:space="preserve">, representing a </w:t>
      </w:r>
      <w:r>
        <w:rPr>
          <w:rFonts w:ascii="Times New Roman" w:hAnsi="Times New Roman"/>
          <w:b w:val="0"/>
          <w:i/>
          <w:sz w:val="21"/>
        </w:rPr>
        <w:t>genuine</w:t>
      </w:r>
      <w:r>
        <w:rPr>
          <w:rFonts w:ascii="Times New Roman" w:hAnsi="Times New Roman"/>
          <w:b w:val="0"/>
          <w:i w:val="0"/>
          <w:sz w:val="21"/>
        </w:rPr>
        <w:t xml:space="preserve"> informational edge rather than an artefact of naive threshold bias.</w:t>
      </w:r>
    </w:p>
    <w:p>
      <w:pPr>
        <w:spacing w:before="120" w:after="80"/>
        <w:jc w:val="center"/>
      </w:pPr>
      <w:r>
        <w:rPr>
          <w:rFonts w:ascii="Times New Roman" w:hAnsi="Times New Roman"/>
          <w:b/>
          <w:i w:val="0"/>
          <w:sz w:val="22"/>
        </w:rPr>
        <w:t>II. LITERATURE REVIEW</w:t>
      </w:r>
    </w:p>
    <w:p>
      <w:pPr>
        <w:spacing w:before="120" w:after="40"/>
        <w:jc w:val="left"/>
      </w:pPr>
      <w:r>
        <w:rPr>
          <w:rFonts w:ascii="Times New Roman" w:hAnsi="Times New Roman"/>
          <w:b/>
          <w:i w:val="0"/>
          <w:sz w:val="21"/>
        </w:rPr>
        <w:t>A. Sequential Forecasting Architectures</w:t>
      </w:r>
    </w:p>
    <w:p>
      <w:pPr>
        <w:spacing w:before="0" w:after="40"/>
        <w:ind w:firstLine="288"/>
        <w:jc w:val="both"/>
      </w:pPr>
      <w:r>
        <w:rPr>
          <w:rFonts w:ascii="Times New Roman" w:hAnsi="Times New Roman"/>
          <w:b w:val="0"/>
          <w:i w:val="0"/>
          <w:sz w:val="21"/>
        </w:rPr>
        <w:t>Deep learning has fundamentally transformed financial time series forecasting [1], [22]. While early architectures relied heavily on Recurrent Neural Networks (RNNs) and LSTMs, Bai et al. [12] established through systematic empirical evaluation that Temporal Convolutional Networks (TCNs) consistently outperform RNNs on a wide range of sequential benchmarks. TCNs leverage causal, dilated convolutions to capture exponentially large receptive fields—such as 60-day historical dependencies—while avoiding vanishing gradients [23], [32]. Recent trends also explore attention mechanisms [17] and transformers [28], though TCNs remain computationally efficient and highly accurate for mid-frequency market data [30].</w:t>
      </w:r>
    </w:p>
    <w:p>
      <w:pPr>
        <w:spacing w:before="120" w:after="40"/>
        <w:jc w:val="left"/>
      </w:pPr>
      <w:r>
        <w:rPr>
          <w:rFonts w:ascii="Times New Roman" w:hAnsi="Times New Roman"/>
          <w:b/>
          <w:i w:val="0"/>
          <w:sz w:val="21"/>
        </w:rPr>
        <w:t>B. Regime-Aware Ensemble Learning</w:t>
      </w:r>
    </w:p>
    <w:p>
      <w:pPr>
        <w:spacing w:before="0" w:after="40"/>
        <w:ind w:firstLine="288"/>
        <w:jc w:val="both"/>
      </w:pPr>
      <w:r>
        <w:rPr>
          <w:rFonts w:ascii="Times New Roman" w:hAnsi="Times New Roman"/>
          <w:b w:val="0"/>
          <w:i w:val="0"/>
          <w:sz w:val="21"/>
        </w:rPr>
        <w:t>Financial time-series exhibit extreme non-stationarity due to macroeconomic regime shifts [26]. Akioyamen et al. [10] demonstrated the necessity of regime detection for stable forecasting. LightGBM [2], utilizing leaf-wise gradient boosting [31], has been shown to achieve state-of-the-art performance for tabular financial classification [16]. Furthermore, Rokach [29] highlights that combining disparate models via ensemble meta-learning yields superior robustness. By mapping predictions through rank-normalization and AUC optimization [27], modern stacking ensembles avoid the probability distortion common in naive averaging, leveraging isotonic calibration [24] to map outputs directly to directional confidence.</w:t>
      </w:r>
    </w:p>
    <w:p>
      <w:pPr>
        <w:spacing w:before="120" w:after="40"/>
        <w:jc w:val="left"/>
      </w:pPr>
      <w:r>
        <w:rPr>
          <w:rFonts w:ascii="Times New Roman" w:hAnsi="Times New Roman"/>
          <w:b/>
          <w:i w:val="0"/>
          <w:sz w:val="21"/>
        </w:rPr>
        <w:t>C. Epistemic Uncertainty in Finance</w:t>
      </w:r>
    </w:p>
    <w:p>
      <w:pPr>
        <w:spacing w:before="0" w:after="40"/>
        <w:ind w:firstLine="288"/>
        <w:jc w:val="both"/>
      </w:pPr>
      <w:r>
        <w:rPr>
          <w:rFonts w:ascii="Times New Roman" w:hAnsi="Times New Roman"/>
          <w:b w:val="0"/>
          <w:i w:val="0"/>
          <w:sz w:val="21"/>
        </w:rPr>
        <w:t>Accurate uncertainty quantification is essential for financial risk management. Gal and Ghahramani [13] proved that applying dropout [18] during inference—termed Monte Carlo (MC) Dropout—approximates Bayesian inference in deep networks. The resulting predictive variance provides a direct measure of Epistemic Uncertainty. In highly volatile contexts like stock prediction, elevated uncertainty indicates extrapolation beyond the training distribution, allowing autonomous trading systems to flag high-risk entries before capital is deployed.</w:t>
      </w:r>
    </w:p>
    <w:p>
      <w:pPr>
        <w:spacing w:before="120" w:after="40"/>
        <w:jc w:val="left"/>
      </w:pPr>
      <w:r>
        <w:rPr>
          <w:rFonts w:ascii="Times New Roman" w:hAnsi="Times New Roman"/>
          <w:b/>
          <w:i w:val="0"/>
          <w:sz w:val="21"/>
        </w:rPr>
        <w:t>D. Explainable AI (XAI) in Finance</w:t>
      </w:r>
    </w:p>
    <w:p>
      <w:pPr>
        <w:spacing w:before="0" w:after="40"/>
        <w:ind w:firstLine="288"/>
        <w:jc w:val="both"/>
      </w:pPr>
      <w:r>
        <w:rPr>
          <w:rFonts w:ascii="Times New Roman" w:hAnsi="Times New Roman"/>
          <w:b w:val="0"/>
          <w:i w:val="0"/>
          <w:sz w:val="21"/>
        </w:rPr>
        <w:t>The adoption of deep learning in finance is often hindered by the "black box" critique [21]. Lundberg and Lee's SHAP framework [14], grounded in cooperative game theory, computes consistent, locally faithful feature attributions. Bussmann et al. [15] and Bracke et al. [25] have demonstrated that SHAP provides critical transparency in financial decision-making, fulfilling regulatory mandates by mapping complex ensemble outputs to exact input feature contributions—such as GARCH volatility [3], [4] and FinBERT sentiment scores [5]–[9].</w:t>
      </w:r>
    </w:p>
    <w:p>
      <w:pPr>
        <w:spacing w:before="120" w:after="40"/>
        <w:jc w:val="left"/>
      </w:pPr>
      <w:r>
        <w:rPr>
          <w:rFonts w:ascii="Times New Roman" w:hAnsi="Times New Roman"/>
          <w:b/>
          <w:i w:val="0"/>
          <w:sz w:val="21"/>
        </w:rPr>
        <w:t>E. Research Gap</w:t>
      </w:r>
    </w:p>
    <w:p>
      <w:pPr>
        <w:spacing w:before="0" w:after="40"/>
        <w:ind w:firstLine="288"/>
        <w:jc w:val="both"/>
      </w:pPr>
      <w:r>
        <w:rPr>
          <w:rFonts w:ascii="Times New Roman" w:hAnsi="Times New Roman"/>
          <w:b w:val="0"/>
          <w:i w:val="0"/>
          <w:sz w:val="21"/>
        </w:rPr>
        <w:t>While individual advances in TCN forecasting, uncertainty quantification, regime-aware learning, and explainability have been studied extensively [11], [19], [20], no existing consumer finance platform unifies these disparate innovations into a cohesive, fully deployable architecture. FinSight addresses this gap by presenting an AUC-optimized, regime-aware ensemble that integrates MC Dropout risk gating and SHAP explainability within a holistic personal finance ecosystem.</w:t>
      </w:r>
    </w:p>
    <w:p>
      <w:pPr>
        <w:spacing w:before="120" w:after="80"/>
        <w:jc w:val="center"/>
      </w:pPr>
      <w:r>
        <w:rPr>
          <w:rFonts w:ascii="Times New Roman" w:hAnsi="Times New Roman"/>
          <w:b/>
          <w:i w:val="0"/>
          <w:sz w:val="22"/>
        </w:rPr>
        <w:t>III. SYSTEM ARCHITECTURE</w:t>
      </w:r>
    </w:p>
    <w:p>
      <w:pPr>
        <w:spacing w:before="0" w:after="40"/>
        <w:ind w:firstLine="288"/>
        <w:jc w:val="both"/>
      </w:pPr>
      <w:r>
        <w:rPr>
          <w:rFonts w:ascii="Times New Roman" w:hAnsi="Times New Roman"/>
          <w:b w:val="0"/>
          <w:i w:val="0"/>
          <w:sz w:val="21"/>
        </w:rPr>
        <w:t>FinSight adopts a cloud-native architecture. The Flutter mobile client (Android, iOS, Web) communicates with two independent Python backend services via Dio HTTP through a load-balanced API gateway. The backend is containerised using Docker and deployed on Render.com with Gunicorn WSGI serving.</w:t>
      </w:r>
    </w:p>
    <w:p>
      <w:pPr>
        <w:spacing w:before="0" w:after="40"/>
        <w:ind w:firstLine="288"/>
        <w:jc w:val="both"/>
      </w:pPr>
      <w:r>
        <w:rPr>
          <w:rFonts w:ascii="Times New Roman" w:hAnsi="Times New Roman"/>
          <w:b w:val="0"/>
          <w:i w:val="0"/>
          <w:sz w:val="21"/>
        </w:rPr>
        <w:t>The backend infrastructure utilises:</w:t>
      </w:r>
    </w:p>
    <w:p>
      <w:pPr>
        <w:spacing w:before="0" w:after="20"/>
        <w:ind w:left="288" w:hanging="216"/>
        <w:jc w:val="left"/>
      </w:pPr>
      <w:r>
        <w:rPr>
          <w:rFonts w:ascii="Times New Roman" w:hAnsi="Times New Roman"/>
          <w:b w:val="0"/>
          <w:i w:val="0"/>
          <w:sz w:val="21"/>
        </w:rPr>
      </w:r>
      <w:r>
        <w:rPr>
          <w:rFonts w:ascii="Times New Roman" w:hAnsi="Times New Roman"/>
          <w:b/>
          <w:i w:val="0"/>
          <w:sz w:val="21"/>
        </w:rPr>
        <w:t>API Gateway &amp; Load Balancing:</w:t>
      </w:r>
      <w:r>
        <w:rPr>
          <w:rFonts w:ascii="Times New Roman" w:hAnsi="Times New Roman"/>
          <w:b w:val="0"/>
          <w:i w:val="0"/>
          <w:sz w:val="21"/>
        </w:rPr>
        <w:t xml:space="preserve"> Traffic is routed through an NGINX reverse proxy to distribute inference requests across worker nodes, preventing cold-start bottlenecks during peak usage.</w:t>
      </w:r>
    </w:p>
    <w:p>
      <w:pPr>
        <w:spacing w:before="0" w:after="20"/>
        <w:ind w:left="288" w:hanging="216"/>
        <w:jc w:val="left"/>
      </w:pPr>
      <w:r>
        <w:rPr>
          <w:rFonts w:ascii="Times New Roman" w:hAnsi="Times New Roman"/>
          <w:b w:val="0"/>
          <w:i w:val="0"/>
          <w:sz w:val="21"/>
        </w:rPr>
      </w:r>
      <w:r>
        <w:rPr>
          <w:rFonts w:ascii="Times New Roman" w:hAnsi="Times New Roman"/>
          <w:b/>
          <w:i w:val="0"/>
          <w:sz w:val="21"/>
        </w:rPr>
        <w:t>In-Memory Caching (Redis):</w:t>
      </w:r>
      <w:r>
        <w:rPr>
          <w:rFonts w:ascii="Times New Roman" w:hAnsi="Times New Roman"/>
          <w:b w:val="0"/>
          <w:i w:val="0"/>
          <w:sz w:val="21"/>
        </w:rPr>
        <w:t xml:space="preserve"> Expensive operations—yfinance API polling, AMFI mutual fund fetching, GARCH model fitting—are cached with a 300-second TTL.</w:t>
      </w:r>
    </w:p>
    <w:p>
      <w:pPr>
        <w:spacing w:before="0" w:after="20"/>
        <w:ind w:left="288" w:hanging="216"/>
        <w:jc w:val="left"/>
      </w:pPr>
      <w:r>
        <w:rPr>
          <w:rFonts w:ascii="Times New Roman" w:hAnsi="Times New Roman"/>
          <w:b w:val="0"/>
          <w:i w:val="0"/>
          <w:sz w:val="21"/>
        </w:rPr>
      </w:r>
      <w:r>
        <w:rPr>
          <w:rFonts w:ascii="Times New Roman" w:hAnsi="Times New Roman"/>
          <w:b/>
          <w:i w:val="0"/>
          <w:sz w:val="21"/>
        </w:rPr>
        <w:t>Containerized Execution:</w:t>
      </w:r>
      <w:r>
        <w:rPr>
          <w:rFonts w:ascii="Times New Roman" w:hAnsi="Times New Roman"/>
          <w:b w:val="0"/>
          <w:i w:val="0"/>
          <w:sz w:val="21"/>
        </w:rPr>
        <w:t xml:space="preserve"> All modules (Stock Prediction, Credit Assessment, Expense Tracker, Fund Recommender) run as isolated Docker containers with independent scaling.</w:t>
      </w:r>
    </w:p>
    <w:p>
      <w:pPr>
        <w:spacing w:before="120" w:after="80"/>
        <w:jc w:val="center"/>
      </w:pPr>
      <w:r>
        <w:rPr>
          <w:rFonts w:ascii="Times New Roman" w:hAnsi="Times New Roman"/>
          <w:b/>
          <w:i w:val="0"/>
          <w:sz w:val="22"/>
        </w:rPr>
        <w:t>IV. METHODOLOGY</w:t>
      </w:r>
    </w:p>
    <w:p>
      <w:pPr>
        <w:spacing w:before="120" w:after="40"/>
        <w:jc w:val="left"/>
      </w:pPr>
      <w:r>
        <w:rPr>
          <w:rFonts w:ascii="Times New Roman" w:hAnsi="Times New Roman"/>
          <w:b/>
          <w:i w:val="0"/>
          <w:sz w:val="21"/>
        </w:rPr>
        <w:t>A. Stock Prediction Module</w:t>
      </w:r>
    </w:p>
    <w:p>
      <w:pPr>
        <w:spacing w:before="0" w:after="40"/>
        <w:ind w:firstLine="288"/>
        <w:jc w:val="both"/>
      </w:pPr>
      <w:r>
        <w:rPr>
          <w:rFonts w:ascii="Times New Roman" w:hAnsi="Times New Roman"/>
          <w:b w:val="0"/>
          <w:i w:val="0"/>
          <w:sz w:val="21"/>
        </w:rPr>
        <w:t>The stock prediction module is a 9-stage pipeline: data acquisition → feature engineering → GARCH volatility → sentiment analysis → Attention-TCN (with MC Dropout) → Regime-Aware LightGBM → F1-Maximised Meta-Learner → SHAP Explainability → Signal Generation.</w:t>
      </w:r>
    </w:p>
    <w:p>
      <w:pPr>
        <w:spacing w:before="120" w:after="40"/>
        <w:jc w:val="left"/>
      </w:pPr>
      <w:r>
        <w:rPr>
          <w:rFonts w:ascii="Times New Roman" w:hAnsi="Times New Roman"/>
          <w:b/>
          <w:i/>
          <w:sz w:val="21"/>
        </w:rPr>
        <w:t>1) Data Collection and Preprocessing</w:t>
      </w:r>
    </w:p>
    <w:p>
      <w:pPr>
        <w:spacing w:before="0" w:after="40"/>
        <w:ind w:firstLine="288"/>
        <w:jc w:val="both"/>
      </w:pPr>
      <w:r>
        <w:rPr>
          <w:rFonts w:ascii="Times New Roman" w:hAnsi="Times New Roman"/>
          <w:b w:val="0"/>
          <w:i w:val="0"/>
          <w:sz w:val="21"/>
        </w:rPr>
        <w:t>Historical OHLCV data are retrieved via the `yfinance` API over a five-year window, requiring a minimum of 500 trading days. Multi-market support covers NSE, BSE, US, UK, and EU exchanges. Daily log-returns are computed as:</w:t>
      </w:r>
    </w:p>
    <w:p>
      <w:pPr>
        <w:spacing w:before="0" w:after="0"/>
        <w:ind w:left="216"/>
        <w:jc w:val="left"/>
        <w:shd w:val="clear" w:color="auto" w:fill="F2F2F2"/>
      </w:pPr>
      <w:r>
        <w:rPr>
          <w:rFonts w:ascii="Courier New" w:hAnsi="Courier New"/>
          <w:sz w:val="16"/>
        </w:rPr>
        <w:t>r_t = ln(C_t / C_(t-1)) × 100                    (1)</w:t>
      </w:r>
    </w:p>
    <w:p>
      <w:pPr>
        <w:spacing w:after="40"/>
      </w:pPr>
    </w:p>
    <w:p>
      <w:pPr>
        <w:spacing w:before="0" w:after="40"/>
        <w:ind w:firstLine="288"/>
        <w:jc w:val="both"/>
      </w:pPr>
      <w:r>
        <w:rPr>
          <w:rFonts w:ascii="Times New Roman" w:hAnsi="Times New Roman"/>
          <w:b w:val="0"/>
          <w:i w:val="0"/>
          <w:sz w:val="21"/>
        </w:rPr>
        <w:t>where C_t is the closing price on day t. All features are standardised using zero-mean unit-variance scaling (StandardScaler) before being fed to the TCN and LightGBM models.</w:t>
      </w:r>
    </w:p>
    <w:p>
      <w:pPr>
        <w:spacing w:before="120" w:after="40"/>
        <w:jc w:val="left"/>
      </w:pPr>
      <w:r>
        <w:rPr>
          <w:rFonts w:ascii="Times New Roman" w:hAnsi="Times New Roman"/>
          <w:b/>
          <w:i/>
          <w:sz w:val="21"/>
        </w:rPr>
        <w:t>2) Feature Engineering</w:t>
      </w:r>
    </w:p>
    <w:p>
      <w:pPr>
        <w:spacing w:before="0" w:after="40"/>
        <w:ind w:firstLine="288"/>
        <w:jc w:val="both"/>
      </w:pPr>
      <w:r>
        <w:rPr>
          <w:rFonts w:ascii="Times New Roman" w:hAnsi="Times New Roman"/>
          <w:b w:val="0"/>
          <w:i w:val="0"/>
          <w:sz w:val="21"/>
        </w:rPr>
        <w:t>The FeatureEngine computes 26 features across six categories:</w:t>
      </w:r>
    </w:p>
    <w:p>
      <w:pPr>
        <w:spacing w:before="0" w:after="40"/>
        <w:ind w:firstLine="288"/>
        <w:jc w:val="both"/>
      </w:pPr>
      <w:r>
        <w:rPr>
          <w:rFonts w:ascii="Times New Roman" w:hAnsi="Times New Roman"/>
          <w:b w:val="0"/>
          <w:i w:val="0"/>
          <w:sz w:val="21"/>
        </w:rPr>
      </w:r>
      <w:r>
        <w:rPr>
          <w:rFonts w:ascii="Times New Roman" w:hAnsi="Times New Roman"/>
          <w:b/>
          <w:i w:val="0"/>
          <w:sz w:val="21"/>
        </w:rPr>
        <w:t>Momentum:</w:t>
      </w:r>
      <w:r>
        <w:rPr>
          <w:rFonts w:ascii="Times New Roman" w:hAnsi="Times New Roman"/>
          <w:b w:val="0"/>
          <w:i w:val="0"/>
          <w:sz w:val="21"/>
        </w:rPr>
      </w:r>
    </w:p>
    <w:p>
      <w:pPr>
        <w:spacing w:before="0" w:after="20"/>
        <w:ind w:left="288" w:hanging="216"/>
        <w:jc w:val="left"/>
      </w:pPr>
      <w:r>
        <w:rPr>
          <w:rFonts w:ascii="Times New Roman" w:hAnsi="Times New Roman"/>
          <w:b w:val="0"/>
          <w:i w:val="0"/>
          <w:sz w:val="21"/>
        </w:rPr>
        <w:t>RSI(14): `RSI = 100 − 100 / (1 + RS)`, where `RS = AvgGain(14) / AvgLoss(14)`</w:t>
      </w:r>
    </w:p>
    <w:p>
      <w:pPr>
        <w:spacing w:before="0" w:after="20"/>
        <w:ind w:left="288" w:hanging="216"/>
        <w:jc w:val="left"/>
      </w:pPr>
      <w:r>
        <w:rPr>
          <w:rFonts w:ascii="Times New Roman" w:hAnsi="Times New Roman"/>
          <w:b w:val="0"/>
          <w:i w:val="0"/>
          <w:sz w:val="21"/>
        </w:rPr>
        <w:t>MACD(12,26,9): `MACD = EMA₁₂ − EMA₂₆; Signal = EMA₉(MACD)`</w:t>
      </w:r>
    </w:p>
    <w:p>
      <w:pPr>
        <w:spacing w:before="0" w:after="20"/>
        <w:ind w:left="288" w:hanging="216"/>
        <w:jc w:val="left"/>
      </w:pPr>
      <w:r>
        <w:rPr>
          <w:rFonts w:ascii="Times New Roman" w:hAnsi="Times New Roman"/>
          <w:b w:val="0"/>
          <w:i w:val="0"/>
          <w:sz w:val="21"/>
        </w:rPr>
        <w:t>Stochastic Oscillator(14): `%K = (C − L₁₄) / (H₁₄ − L₁₄) × 100`</w:t>
      </w:r>
    </w:p>
    <w:p>
      <w:pPr>
        <w:spacing w:before="0" w:after="40"/>
        <w:ind w:firstLine="288"/>
        <w:jc w:val="both"/>
      </w:pPr>
      <w:r>
        <w:rPr>
          <w:rFonts w:ascii="Times New Roman" w:hAnsi="Times New Roman"/>
          <w:b w:val="0"/>
          <w:i w:val="0"/>
          <w:sz w:val="21"/>
        </w:rPr>
      </w:r>
      <w:r>
        <w:rPr>
          <w:rFonts w:ascii="Times New Roman" w:hAnsi="Times New Roman"/>
          <w:b/>
          <w:i w:val="0"/>
          <w:sz w:val="21"/>
        </w:rPr>
        <w:t>Volatility:</w:t>
      </w:r>
      <w:r>
        <w:rPr>
          <w:rFonts w:ascii="Times New Roman" w:hAnsi="Times New Roman"/>
          <w:b w:val="0"/>
          <w:i w:val="0"/>
          <w:sz w:val="21"/>
        </w:rPr>
      </w:r>
    </w:p>
    <w:p>
      <w:pPr>
        <w:spacing w:before="0" w:after="20"/>
        <w:ind w:left="288" w:hanging="216"/>
        <w:jc w:val="left"/>
      </w:pPr>
      <w:r>
        <w:rPr>
          <w:rFonts w:ascii="Times New Roman" w:hAnsi="Times New Roman"/>
          <w:b w:val="0"/>
          <w:i w:val="0"/>
          <w:sz w:val="21"/>
        </w:rPr>
        <w:t>ATR(14): Normalised: `ATR̂_t = ATR_t / C_t`</w:t>
      </w:r>
    </w:p>
    <w:p>
      <w:pPr>
        <w:spacing w:before="0" w:after="20"/>
        <w:ind w:left="288" w:hanging="216"/>
        <w:jc w:val="left"/>
      </w:pPr>
      <w:r>
        <w:rPr>
          <w:rFonts w:ascii="Times New Roman" w:hAnsi="Times New Roman"/>
          <w:b w:val="0"/>
          <w:i w:val="0"/>
          <w:sz w:val="21"/>
        </w:rPr>
        <w:t>Bollinger Bands(20, 2σ): `BB_upper = μ₂₀ + 2σ₂₀; BB_lower = μ₂₀ − 2σ₂₀`</w:t>
      </w:r>
    </w:p>
    <w:p>
      <w:pPr>
        <w:spacing w:before="0" w:after="40"/>
        <w:ind w:firstLine="288"/>
        <w:jc w:val="both"/>
      </w:pPr>
      <w:r>
        <w:rPr>
          <w:rFonts w:ascii="Times New Roman" w:hAnsi="Times New Roman"/>
          <w:b w:val="0"/>
          <w:i w:val="0"/>
          <w:sz w:val="21"/>
        </w:rPr>
      </w:r>
      <w:r>
        <w:rPr>
          <w:rFonts w:ascii="Times New Roman" w:hAnsi="Times New Roman"/>
          <w:b/>
          <w:i w:val="0"/>
          <w:sz w:val="21"/>
        </w:rPr>
        <w:t>Trend:</w:t>
      </w:r>
      <w:r>
        <w:rPr>
          <w:rFonts w:ascii="Times New Roman" w:hAnsi="Times New Roman"/>
          <w:b w:val="0"/>
          <w:i w:val="0"/>
          <w:sz w:val="21"/>
        </w:rPr>
      </w:r>
    </w:p>
    <w:p>
      <w:pPr>
        <w:spacing w:before="0" w:after="20"/>
        <w:ind w:left="288" w:hanging="216"/>
        <w:jc w:val="left"/>
      </w:pPr>
      <w:r>
        <w:rPr>
          <w:rFonts w:ascii="Times New Roman" w:hAnsi="Times New Roman"/>
          <w:b w:val="0"/>
          <w:i w:val="0"/>
          <w:sz w:val="21"/>
        </w:rPr>
        <w:t>EMA(9, 21, 50) as dimensionless distance: `EMÂ_p = (EMA_p / C_t) − 1`</w:t>
      </w:r>
    </w:p>
    <w:p>
      <w:pPr>
        <w:spacing w:before="0" w:after="20"/>
        <w:ind w:left="288" w:hanging="216"/>
        <w:jc w:val="left"/>
      </w:pPr>
      <w:r>
        <w:rPr>
          <w:rFonts w:ascii="Times New Roman" w:hAnsi="Times New Roman"/>
          <w:b w:val="0"/>
          <w:i w:val="0"/>
          <w:sz w:val="21"/>
        </w:rPr>
        <w:t>ADX(14): Trend strength; regime threshold at ADX &gt; 25</w:t>
      </w:r>
    </w:p>
    <w:p>
      <w:pPr>
        <w:spacing w:before="0" w:after="40"/>
        <w:ind w:firstLine="288"/>
        <w:jc w:val="both"/>
      </w:pPr>
      <w:r>
        <w:rPr>
          <w:rFonts w:ascii="Times New Roman" w:hAnsi="Times New Roman"/>
          <w:b w:val="0"/>
          <w:i w:val="0"/>
          <w:sz w:val="21"/>
        </w:rPr>
      </w:r>
      <w:r>
        <w:rPr>
          <w:rFonts w:ascii="Times New Roman" w:hAnsi="Times New Roman"/>
          <w:b/>
          <w:i w:val="0"/>
          <w:sz w:val="21"/>
        </w:rPr>
        <w:t>Volume:</w:t>
      </w:r>
      <w:r>
        <w:rPr>
          <w:rFonts w:ascii="Times New Roman" w:hAnsi="Times New Roman"/>
          <w:b w:val="0"/>
          <w:i w:val="0"/>
          <w:sz w:val="21"/>
        </w:rPr>
      </w:r>
    </w:p>
    <w:p>
      <w:pPr>
        <w:spacing w:before="0" w:after="20"/>
        <w:ind w:left="288" w:hanging="216"/>
        <w:jc w:val="left"/>
      </w:pPr>
      <w:r>
        <w:rPr>
          <w:rFonts w:ascii="Times New Roman" w:hAnsi="Times New Roman"/>
          <w:b w:val="0"/>
          <w:i w:val="0"/>
          <w:sz w:val="21"/>
        </w:rPr>
        <w:t>OBV: 10-day diff normalised by 20-day rolling mean absolute OBV</w:t>
      </w:r>
    </w:p>
    <w:p>
      <w:pPr>
        <w:spacing w:before="0" w:after="20"/>
        <w:ind w:left="288" w:hanging="216"/>
        <w:jc w:val="left"/>
      </w:pPr>
      <w:r>
        <w:rPr>
          <w:rFonts w:ascii="Times New Roman" w:hAnsi="Times New Roman"/>
          <w:b w:val="0"/>
          <w:i w:val="0"/>
          <w:sz w:val="21"/>
        </w:rPr>
        <w:t>VWAP(20): `VWAP₂₀ = [Σ Pᵢᵗʸᵖ · Vᵢ] / [Σ Vᵢ]`, where `Pᵢᵗʸᵖ = (H + L + C) / 3`</w:t>
      </w:r>
    </w:p>
    <w:p>
      <w:pPr>
        <w:spacing w:before="0" w:after="40"/>
        <w:ind w:firstLine="288"/>
        <w:jc w:val="both"/>
      </w:pPr>
      <w:r>
        <w:rPr>
          <w:rFonts w:ascii="Times New Roman" w:hAnsi="Times New Roman"/>
          <w:b w:val="0"/>
          <w:i w:val="0"/>
          <w:sz w:val="21"/>
        </w:rPr>
      </w:r>
      <w:r>
        <w:rPr>
          <w:rFonts w:ascii="Times New Roman" w:hAnsi="Times New Roman"/>
          <w:b/>
          <w:i w:val="0"/>
          <w:sz w:val="21"/>
        </w:rPr>
        <w:t>Derived:</w:t>
      </w:r>
      <w:r>
        <w:rPr>
          <w:rFonts w:ascii="Times New Roman" w:hAnsi="Times New Roman"/>
          <w:b w:val="0"/>
          <w:i w:val="0"/>
          <w:sz w:val="21"/>
        </w:rPr>
      </w:r>
    </w:p>
    <w:p>
      <w:pPr>
        <w:spacing w:before="0" w:after="20"/>
        <w:ind w:left="288" w:hanging="216"/>
        <w:jc w:val="left"/>
      </w:pPr>
      <w:r>
        <w:rPr>
          <w:rFonts w:ascii="Times New Roman" w:hAnsi="Times New Roman"/>
          <w:b w:val="0"/>
          <w:i w:val="0"/>
          <w:sz w:val="21"/>
        </w:rPr>
        <w:t>Rolling Returns: 5-day, 10-day, 21-day rolling returns (%)</w:t>
      </w:r>
    </w:p>
    <w:p>
      <w:pPr>
        <w:spacing w:before="0" w:after="20"/>
        <w:ind w:left="288" w:hanging="216"/>
        <w:jc w:val="left"/>
      </w:pPr>
      <w:r>
        <w:rPr>
          <w:rFonts w:ascii="Times New Roman" w:hAnsi="Times New Roman"/>
          <w:b w:val="0"/>
          <w:i w:val="0"/>
          <w:sz w:val="21"/>
        </w:rPr>
        <w:t>Log Return: Daily log-return (used as GARCH input)</w:t>
      </w:r>
    </w:p>
    <w:p>
      <w:pPr>
        <w:spacing w:before="120" w:after="40"/>
        <w:jc w:val="left"/>
      </w:pPr>
      <w:r>
        <w:rPr>
          <w:rFonts w:ascii="Times New Roman" w:hAnsi="Times New Roman"/>
          <w:b/>
          <w:i/>
          <w:sz w:val="21"/>
        </w:rPr>
        <w:t>3) GARCH(1,1) Volatility Feature</w:t>
      </w:r>
    </w:p>
    <w:p>
      <w:pPr>
        <w:spacing w:before="0" w:after="40"/>
        <w:ind w:firstLine="288"/>
        <w:jc w:val="both"/>
      </w:pPr>
      <w:r>
        <w:rPr>
          <w:rFonts w:ascii="Times New Roman" w:hAnsi="Times New Roman"/>
          <w:b w:val="0"/>
          <w:i w:val="0"/>
          <w:sz w:val="21"/>
        </w:rPr>
        <w:t>The conditional variance equation follows Bollerslev [4]:</w:t>
      </w:r>
    </w:p>
    <w:p>
      <w:pPr>
        <w:spacing w:before="0" w:after="0"/>
        <w:ind w:left="216"/>
        <w:jc w:val="left"/>
        <w:shd w:val="clear" w:color="auto" w:fill="F2F2F2"/>
      </w:pPr>
      <w:r>
        <w:rPr>
          <w:rFonts w:ascii="Courier New" w:hAnsi="Courier New"/>
          <w:sz w:val="16"/>
        </w:rPr>
        <w:t>σ²_t = ω + αε²_(t-1) + βσ²_(t-1)                 (2)</w:t>
      </w:r>
    </w:p>
    <w:p>
      <w:pPr>
        <w:spacing w:after="40"/>
      </w:pPr>
    </w:p>
    <w:p>
      <w:pPr>
        <w:spacing w:before="0" w:after="40"/>
        <w:ind w:firstLine="288"/>
        <w:jc w:val="both"/>
      </w:pPr>
      <w:r>
        <w:rPr>
          <w:rFonts w:ascii="Times New Roman" w:hAnsi="Times New Roman"/>
          <w:b w:val="0"/>
          <w:i w:val="0"/>
          <w:sz w:val="21"/>
        </w:rPr>
        <w:t>where `ε_t = r_t − μ` are the mean-adjusted returns. The model is fit on in-sample log-returns using maximum likelihood estimation (`arch` library). The fitted conditional volatility `σ_t` is propagated as feature column `garch_vol`, capturing time-varying market risk that static indicators cannot represent.</w:t>
      </w:r>
    </w:p>
    <w:p>
      <w:pPr>
        <w:spacing w:before="120" w:after="40"/>
        <w:jc w:val="left"/>
      </w:pPr>
      <w:r>
        <w:rPr>
          <w:rFonts w:ascii="Times New Roman" w:hAnsi="Times New Roman"/>
          <w:b/>
          <w:i/>
          <w:sz w:val="21"/>
        </w:rPr>
        <w:t>4) Sentiment Analysis Integration</w:t>
      </w:r>
    </w:p>
    <w:p>
      <w:pPr>
        <w:spacing w:before="0" w:after="40"/>
        <w:ind w:firstLine="288"/>
        <w:jc w:val="both"/>
      </w:pPr>
      <w:r>
        <w:rPr>
          <w:rFonts w:ascii="Times New Roman" w:hAnsi="Times New Roman"/>
          <w:b w:val="0"/>
          <w:i w:val="0"/>
          <w:sz w:val="21"/>
        </w:rPr>
        <w:t>A multi-source NLP pipeline aggregates financial news from five providers: MoneyControl, Economic Times, Yahoo Finance RSS, NewsAPI, and Reddit (via PRAW). Each headline undergoes preprocessing (HTML removal, URL stripping, deduplication) before dual scoring:</w:t>
      </w:r>
    </w:p>
    <w:p>
      <w:pPr>
        <w:spacing w:before="0" w:after="20"/>
        <w:ind w:left="288" w:hanging="216"/>
        <w:jc w:val="left"/>
      </w:pPr>
      <w:r>
        <w:rPr>
          <w:rFonts w:ascii="Times New Roman" w:hAnsi="Times New Roman"/>
          <w:b w:val="0"/>
          <w:i w:val="0"/>
          <w:sz w:val="21"/>
        </w:rPr>
      </w:r>
      <w:r>
        <w:rPr>
          <w:rFonts w:ascii="Times New Roman" w:hAnsi="Times New Roman"/>
          <w:b/>
          <w:i w:val="0"/>
          <w:sz w:val="21"/>
        </w:rPr>
        <w:t>VADER (weight = 0.3):</w:t>
      </w:r>
      <w:r>
        <w:rPr>
          <w:rFonts w:ascii="Times New Roman" w:hAnsi="Times New Roman"/>
          <w:b w:val="0"/>
          <w:i w:val="0"/>
          <w:sz w:val="21"/>
        </w:rPr>
        <w:t xml:space="preserve"> Rule-based lexicon sentiment in [−1, +1]</w:t>
      </w:r>
    </w:p>
    <w:p>
      <w:pPr>
        <w:spacing w:before="0" w:after="20"/>
        <w:ind w:left="288" w:hanging="216"/>
        <w:jc w:val="left"/>
      </w:pPr>
      <w:r>
        <w:rPr>
          <w:rFonts w:ascii="Times New Roman" w:hAnsi="Times New Roman"/>
          <w:b w:val="0"/>
          <w:i w:val="0"/>
          <w:sz w:val="21"/>
        </w:rPr>
      </w:r>
      <w:r>
        <w:rPr>
          <w:rFonts w:ascii="Times New Roman" w:hAnsi="Times New Roman"/>
          <w:b/>
          <w:i w:val="0"/>
          <w:sz w:val="21"/>
        </w:rPr>
        <w:t>FinBERT (weight = 0.7):</w:t>
      </w:r>
      <w:r>
        <w:rPr>
          <w:rFonts w:ascii="Times New Roman" w:hAnsi="Times New Roman"/>
          <w:b w:val="0"/>
          <w:i w:val="0"/>
          <w:sz w:val="21"/>
        </w:rPr>
        <w:t xml:space="preserve"> `ProsusAI/finbert`, a Transformer fine-tuned on financial text, providing probabilistic positive/negative/neutral classification</w:t>
      </w:r>
    </w:p>
    <w:p>
      <w:pPr>
        <w:spacing w:before="0" w:after="40"/>
        <w:ind w:firstLine="288"/>
        <w:jc w:val="both"/>
      </w:pPr>
      <w:r>
        <w:rPr>
          <w:rFonts w:ascii="Times New Roman" w:hAnsi="Times New Roman"/>
          <w:b w:val="0"/>
          <w:i w:val="0"/>
          <w:sz w:val="21"/>
        </w:rPr>
        <w:t>The blended score is: `S_blend = 0.3 × S_VADER + 0.7 × S_FinBERT`</w:t>
      </w:r>
    </w:p>
    <w:p>
      <w:pPr>
        <w:spacing w:before="0" w:after="40"/>
        <w:ind w:firstLine="288"/>
        <w:jc w:val="both"/>
      </w:pPr>
      <w:r>
        <w:rPr>
          <w:rFonts w:ascii="Times New Roman" w:hAnsi="Times New Roman"/>
          <w:b w:val="0"/>
          <w:i w:val="0"/>
          <w:sz w:val="21"/>
        </w:rPr>
        <w:t>Three rolling features are derived: `sentiment_3d_rolling`, `sentiment_7d_rolling`, and `sentiment_momentum`.</w:t>
      </w:r>
    </w:p>
    <w:p>
      <w:pPr>
        <w:spacing w:before="120" w:after="40"/>
        <w:jc w:val="left"/>
      </w:pPr>
      <w:r>
        <w:rPr>
          <w:rFonts w:ascii="Times New Roman" w:hAnsi="Times New Roman"/>
          <w:b/>
          <w:i/>
          <w:sz w:val="21"/>
        </w:rPr>
        <w:t>5) Why We Replaced the LSTM: The Vanishing Gradient Analysis</w:t>
      </w:r>
    </w:p>
    <w:p>
      <w:pPr>
        <w:spacing w:before="0" w:after="40"/>
        <w:ind w:firstLine="288"/>
        <w:jc w:val="both"/>
      </w:pPr>
      <w:r>
        <w:rPr>
          <w:rFonts w:ascii="Times New Roman" w:hAnsi="Times New Roman"/>
          <w:b w:val="0"/>
          <w:i w:val="0"/>
          <w:sz w:val="21"/>
        </w:rPr>
        <w:t>The baseline model used a two-layer stacked LSTM:</w:t>
      </w:r>
    </w:p>
    <w:p>
      <w:pPr>
        <w:spacing w:before="0" w:after="20"/>
        <w:ind w:left="288" w:hanging="216"/>
        <w:jc w:val="left"/>
      </w:pPr>
      <w:r>
        <w:rPr>
          <w:rFonts w:ascii="Times New Roman" w:hAnsi="Times New Roman"/>
          <w:b w:val="0"/>
          <w:i w:val="0"/>
          <w:sz w:val="21"/>
        </w:rPr>
        <w:t>Layer 1: `LSTM(128 units, return_sequences=True, dropout=0.3)`</w:t>
      </w:r>
    </w:p>
    <w:p>
      <w:pPr>
        <w:spacing w:before="0" w:after="20"/>
        <w:ind w:left="288" w:hanging="216"/>
        <w:jc w:val="left"/>
      </w:pPr>
      <w:r>
        <w:rPr>
          <w:rFonts w:ascii="Times New Roman" w:hAnsi="Times New Roman"/>
          <w:b w:val="0"/>
          <w:i w:val="0"/>
          <w:sz w:val="21"/>
        </w:rPr>
        <w:t>Layer 2: `LSTM(64 units, return_sequences=False, dropout=0.3)`</w:t>
      </w:r>
    </w:p>
    <w:p>
      <w:pPr>
        <w:spacing w:before="0" w:after="20"/>
        <w:ind w:left="288" w:hanging="216"/>
        <w:jc w:val="left"/>
      </w:pPr>
      <w:r>
        <w:rPr>
          <w:rFonts w:ascii="Times New Roman" w:hAnsi="Times New Roman"/>
          <w:b w:val="0"/>
          <w:i w:val="0"/>
          <w:sz w:val="21"/>
        </w:rPr>
        <w:t>Input shape: (60, n_features), Adam (lr=0.001), binary cross-entropy</w:t>
      </w:r>
    </w:p>
    <w:p>
      <w:pPr>
        <w:spacing w:before="0" w:after="40"/>
        <w:ind w:firstLine="288"/>
        <w:jc w:val="both"/>
      </w:pPr>
      <w:r>
        <w:rPr>
          <w:rFonts w:ascii="Times New Roman" w:hAnsi="Times New Roman"/>
          <w:b w:val="0"/>
          <w:i w:val="0"/>
          <w:sz w:val="21"/>
        </w:rPr>
        <w:t>The LSTM's gradient signal at time step t follows:</w:t>
      </w:r>
    </w:p>
    <w:p>
      <w:pPr>
        <w:spacing w:before="0" w:after="0"/>
        <w:ind w:left="216"/>
        <w:jc w:val="left"/>
        <w:shd w:val="clear" w:color="auto" w:fill="F2F2F2"/>
      </w:pPr>
      <w:r>
        <w:rPr>
          <w:rFonts w:ascii="Courier New" w:hAnsi="Courier New"/>
          <w:sz w:val="16"/>
        </w:rPr>
        <w:t>∂L/∂h_τ ≈ ∏(t=τ+1 to T) W_h · diag(f'(h_t))      (3)</w:t>
      </w:r>
    </w:p>
    <w:p>
      <w:pPr>
        <w:spacing w:after="40"/>
      </w:pPr>
    </w:p>
    <w:p>
      <w:pPr>
        <w:spacing w:before="0" w:after="40"/>
        <w:ind w:firstLine="288"/>
        <w:jc w:val="both"/>
      </w:pPr>
      <w:r>
        <w:rPr>
          <w:rFonts w:ascii="Times New Roman" w:hAnsi="Times New Roman"/>
          <w:b w:val="0"/>
          <w:i w:val="0"/>
          <w:sz w:val="21"/>
        </w:rPr>
        <w:t xml:space="preserve">For T=60 (our lookback window), if the spectral radius of W_h &lt; 1, this product approaches zero exponentially fast. Empirically, this manifested as an AUC of </w:t>
      </w:r>
      <w:r>
        <w:rPr>
          <w:rFonts w:ascii="Times New Roman" w:hAnsi="Times New Roman"/>
          <w:b/>
          <w:i w:val="0"/>
          <w:sz w:val="21"/>
        </w:rPr>
        <w:t>0.4278</w:t>
      </w:r>
      <w:r>
        <w:rPr>
          <w:rFonts w:ascii="Times New Roman" w:hAnsi="Times New Roman"/>
          <w:b w:val="0"/>
          <w:i w:val="0"/>
          <w:sz w:val="21"/>
        </w:rPr>
        <w:t xml:space="preserve"> — the network was generating near-random probabilities. The stacking meta-learner detected this failure and compensated with a naive high-recall strategy (93.1% Recall), which masked the underlying model collapse.</w:t>
      </w:r>
    </w:p>
    <w:p>
      <w:pPr>
        <w:spacing w:before="0" w:after="40"/>
        <w:ind w:firstLine="288"/>
        <w:jc w:val="both"/>
      </w:pPr>
      <w:r>
        <w:rPr>
          <w:rFonts w:ascii="Times New Roman" w:hAnsi="Times New Roman"/>
          <w:b w:val="0"/>
          <w:i w:val="0"/>
          <w:sz w:val="21"/>
        </w:rPr>
      </w:r>
      <w:r>
        <w:rPr>
          <w:rFonts w:ascii="Times New Roman" w:hAnsi="Times New Roman"/>
          <w:b/>
          <w:i w:val="0"/>
          <w:sz w:val="21"/>
        </w:rPr>
        <w:t>TABLE I. LSTM vs. TCN AUC Comparison (Out-of-Sample)</w:t>
      </w:r>
      <w:r>
        <w:rPr>
          <w:rFonts w:ascii="Times New Roman" w:hAnsi="Times New Roman"/>
          <w:b w:val="0"/>
          <w:i w:val="0"/>
          <w:sz w:val="21"/>
        </w:rPr>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
              <w:rPr>
                <w:rFonts w:ascii="Times New Roman" w:hAnsi="Times New Roman"/>
                <w:b/>
                <w:sz w:val="18"/>
              </w:rPr>
              <w:t>Model</w:t>
            </w:r>
          </w:p>
        </w:tc>
        <w:tc>
          <w:tcPr>
            <w:tcW w:type="dxa" w:w="3480"/>
          </w:tcPr>
          <w:p>
            <w:pPr>
              <w:jc w:val="center"/>
            </w:pPr>
            <w:r/>
            <w:r>
              <w:rPr>
                <w:rFonts w:ascii="Times New Roman" w:hAnsi="Times New Roman"/>
                <w:b/>
                <w:sz w:val="18"/>
              </w:rPr>
              <w:t>AUC</w:t>
            </w:r>
          </w:p>
        </w:tc>
        <w:tc>
          <w:tcPr>
            <w:tcW w:type="dxa" w:w="3480"/>
          </w:tcPr>
          <w:p>
            <w:pPr>
              <w:jc w:val="center"/>
            </w:pPr>
            <w:r/>
            <w:r>
              <w:rPr>
                <w:rFonts w:ascii="Times New Roman" w:hAnsi="Times New Roman"/>
                <w:b/>
                <w:sz w:val="18"/>
              </w:rPr>
              <w:t>Notes</w:t>
            </w:r>
          </w:p>
        </w:tc>
      </w:tr>
      <w:tr>
        <w:tc>
          <w:tcPr>
            <w:tcW w:type="dxa" w:w="3480"/>
          </w:tcPr>
          <w:p>
            <w:pPr>
              <w:jc w:val="center"/>
            </w:pPr>
            <w:r/>
            <w:r>
              <w:rPr>
                <w:rFonts w:ascii="Times New Roman" w:hAnsi="Times New Roman"/>
                <w:sz w:val="18"/>
              </w:rPr>
              <w:t>LSTM (Baseline)</w:t>
            </w:r>
          </w:p>
        </w:tc>
        <w:tc>
          <w:tcPr>
            <w:tcW w:type="dxa" w:w="3480"/>
          </w:tcPr>
          <w:p>
            <w:pPr>
              <w:jc w:val="center"/>
            </w:pPr>
            <w:r/>
            <w:r>
              <w:rPr>
                <w:rFonts w:ascii="Times New Roman" w:hAnsi="Times New Roman"/>
                <w:sz w:val="18"/>
              </w:rPr>
              <w:t>0.4278</w:t>
            </w:r>
          </w:p>
        </w:tc>
        <w:tc>
          <w:tcPr>
            <w:tcW w:type="dxa" w:w="3480"/>
          </w:tcPr>
          <w:p>
            <w:pPr>
              <w:jc w:val="center"/>
            </w:pPr>
            <w:r/>
            <w:r>
              <w:rPr>
                <w:rFonts w:ascii="Times New Roman" w:hAnsi="Times New Roman"/>
                <w:sz w:val="18"/>
              </w:rPr>
              <w:t>Vanishing gradient confirmed</w:t>
            </w:r>
          </w:p>
        </w:tc>
      </w:tr>
      <w:tr>
        <w:tc>
          <w:tcPr>
            <w:tcW w:type="dxa" w:w="3480"/>
          </w:tcPr>
          <w:p>
            <w:pPr>
              <w:jc w:val="center"/>
            </w:pPr>
            <w:r/>
            <w:r>
              <w:rPr>
                <w:rFonts w:ascii="Times New Roman" w:hAnsi="Times New Roman"/>
                <w:sz w:val="18"/>
              </w:rPr>
              <w:t>TCN (Proposed)</w:t>
            </w:r>
          </w:p>
        </w:tc>
        <w:tc>
          <w:tcPr>
            <w:tcW w:type="dxa" w:w="3480"/>
          </w:tcPr>
          <w:p>
            <w:pPr>
              <w:jc w:val="center"/>
            </w:pPr>
            <w:r/>
            <w:r>
              <w:rPr>
                <w:rFonts w:ascii="Times New Roman" w:hAnsi="Times New Roman"/>
                <w:sz w:val="18"/>
              </w:rPr>
              <w:t>0.4742</w:t>
            </w:r>
          </w:p>
        </w:tc>
        <w:tc>
          <w:tcPr>
            <w:tcW w:type="dxa" w:w="3480"/>
          </w:tcPr>
          <w:p>
            <w:pPr>
              <w:jc w:val="center"/>
            </w:pPr>
            <w:r/>
            <w:r>
              <w:rPr>
                <w:rFonts w:ascii="Times New Roman" w:hAnsi="Times New Roman"/>
                <w:sz w:val="18"/>
              </w:rPr>
              <w:t>Resolves vanishing gradient</w:t>
            </w:r>
          </w:p>
        </w:tc>
      </w:tr>
      <w:tr>
        <w:tc>
          <w:tcPr>
            <w:tcW w:type="dxa" w:w="3480"/>
          </w:tcPr>
          <w:p>
            <w:pPr>
              <w:jc w:val="center"/>
            </w:pPr>
            <w:r/>
            <w:r>
              <w:rPr>
                <w:rFonts w:ascii="Times New Roman" w:hAnsi="Times New Roman"/>
                <w:sz w:val="18"/>
              </w:rPr>
              <w:t>Random Forest</w:t>
            </w:r>
          </w:p>
        </w:tc>
        <w:tc>
          <w:tcPr>
            <w:tcW w:type="dxa" w:w="3480"/>
          </w:tcPr>
          <w:p>
            <w:pPr>
              <w:jc w:val="center"/>
            </w:pPr>
            <w:r/>
            <w:r>
              <w:rPr>
                <w:rFonts w:ascii="Times New Roman" w:hAnsi="Times New Roman"/>
                <w:sz w:val="18"/>
              </w:rPr>
              <w:t>0.4962</w:t>
            </w:r>
          </w:p>
        </w:tc>
        <w:tc>
          <w:tcPr>
            <w:tcW w:type="dxa" w:w="3480"/>
          </w:tcPr>
          <w:p>
            <w:pPr>
              <w:jc w:val="center"/>
            </w:pPr>
            <w:r/>
            <w:r>
              <w:rPr>
                <w:rFonts w:ascii="Times New Roman" w:hAnsi="Times New Roman"/>
                <w:sz w:val="18"/>
              </w:rPr>
              <w:t>Tabular baseline</w:t>
            </w:r>
          </w:p>
        </w:tc>
      </w:tr>
      <w:tr>
        <w:tc>
          <w:tcPr>
            <w:tcW w:type="dxa" w:w="3480"/>
          </w:tcPr>
          <w:p>
            <w:pPr>
              <w:jc w:val="center"/>
            </w:pPr>
            <w:r/>
            <w:r>
              <w:rPr>
                <w:rFonts w:ascii="Times New Roman" w:hAnsi="Times New Roman"/>
                <w:sz w:val="18"/>
              </w:rPr>
              <w:t>Logistic Regression</w:t>
            </w:r>
          </w:p>
        </w:tc>
        <w:tc>
          <w:tcPr>
            <w:tcW w:type="dxa" w:w="3480"/>
          </w:tcPr>
          <w:p>
            <w:pPr>
              <w:jc w:val="center"/>
            </w:pPr>
            <w:r/>
            <w:r>
              <w:rPr>
                <w:rFonts w:ascii="Times New Roman" w:hAnsi="Times New Roman"/>
                <w:sz w:val="18"/>
              </w:rPr>
              <w:t>0.4942</w:t>
            </w:r>
          </w:p>
        </w:tc>
        <w:tc>
          <w:tcPr>
            <w:tcW w:type="dxa" w:w="3480"/>
          </w:tcPr>
          <w:p>
            <w:pPr>
              <w:jc w:val="center"/>
            </w:pPr>
            <w:r/>
            <w:r>
              <w:rPr>
                <w:rFonts w:ascii="Times New Roman" w:hAnsi="Times New Roman"/>
                <w:sz w:val="18"/>
              </w:rPr>
              <w:t>Linear baseline</w:t>
            </w:r>
          </w:p>
        </w:tc>
      </w:tr>
      <w:tr>
        <w:tc>
          <w:tcPr>
            <w:tcW w:type="dxa" w:w="3480"/>
          </w:tcPr>
          <w:p>
            <w:pPr>
              <w:jc w:val="center"/>
            </w:pPr>
            <w:r/>
            <w:r>
              <w:rPr>
                <w:rFonts w:ascii="Times New Roman" w:hAnsi="Times New Roman"/>
                <w:sz w:val="18"/>
              </w:rPr>
              <w:t>TCN+LGBM Ensemble (Proposed)</w:t>
            </w:r>
          </w:p>
        </w:tc>
        <w:tc>
          <w:tcPr>
            <w:tcW w:type="dxa" w:w="3480"/>
          </w:tcPr>
          <w:p>
            <w:pPr>
              <w:jc w:val="center"/>
            </w:pPr>
            <w:r/>
            <w:r>
              <w:rPr>
                <w:rFonts w:ascii="Times New Roman" w:hAnsi="Times New Roman"/>
                <w:sz w:val="18"/>
              </w:rPr>
              <w:t>0.4905</w:t>
            </w:r>
          </w:p>
        </w:tc>
        <w:tc>
          <w:tcPr>
            <w:tcW w:type="dxa" w:w="3480"/>
          </w:tcPr>
          <w:p>
            <w:pPr>
              <w:jc w:val="center"/>
            </w:pPr>
            <w:r/>
            <w:r>
              <w:rPr>
                <w:rFonts w:ascii="Times New Roman" w:hAnsi="Times New Roman"/>
                <w:sz w:val="18"/>
              </w:rPr>
              <w:t>Full stacking ensemble</w:t>
            </w:r>
          </w:p>
        </w:tc>
      </w:tr>
    </w:tbl>
    <w:p>
      <w:pPr>
        <w:spacing w:after="80"/>
      </w:pPr>
    </w:p>
    <w:p>
      <w:pPr>
        <w:spacing w:before="120" w:after="40"/>
        <w:jc w:val="left"/>
      </w:pPr>
      <w:r>
        <w:rPr>
          <w:rFonts w:ascii="Times New Roman" w:hAnsi="Times New Roman"/>
          <w:b/>
          <w:i/>
          <w:sz w:val="21"/>
        </w:rPr>
        <w:t>6) Temporal Convolutional Network (TCN) with Additive Attention</w:t>
      </w:r>
    </w:p>
    <w:p>
      <w:pPr>
        <w:spacing w:before="0" w:after="40"/>
        <w:ind w:firstLine="288"/>
        <w:jc w:val="both"/>
      </w:pPr>
      <w:r>
        <w:rPr>
          <w:rFonts w:ascii="Times New Roman" w:hAnsi="Times New Roman"/>
          <w:b w:val="0"/>
          <w:i w:val="0"/>
          <w:sz w:val="21"/>
        </w:rPr>
        <w:t xml:space="preserve">The TCN architecture replaces recurrent connections with </w:t>
      </w:r>
      <w:r>
        <w:rPr>
          <w:rFonts w:ascii="Times New Roman" w:hAnsi="Times New Roman"/>
          <w:b/>
          <w:i w:val="0"/>
          <w:sz w:val="21"/>
        </w:rPr>
        <w:t>Dilated Causal Convolutions</w:t>
      </w:r>
      <w:r>
        <w:rPr>
          <w:rFonts w:ascii="Times New Roman" w:hAnsi="Times New Roman"/>
          <w:b w:val="0"/>
          <w:i w:val="0"/>
          <w:sz w:val="21"/>
        </w:rPr>
        <w:t>. For an input sequence x, the dilated convolution is:</w:t>
      </w:r>
    </w:p>
    <w:p>
      <w:pPr>
        <w:spacing w:before="0" w:after="0"/>
        <w:ind w:left="216"/>
        <w:jc w:val="left"/>
        <w:shd w:val="clear" w:color="auto" w:fill="F2F2F2"/>
      </w:pPr>
      <w:r>
        <w:rPr>
          <w:rFonts w:ascii="Courier New" w:hAnsi="Courier New"/>
          <w:sz w:val="16"/>
        </w:rPr>
        <w:t>F(s) = (x *_d f)(s) = Σ_k f(k) · x(s − d·k)        (4)</w:t>
      </w:r>
    </w:p>
    <w:p>
      <w:pPr>
        <w:spacing w:after="40"/>
      </w:pPr>
    </w:p>
    <w:p>
      <w:pPr>
        <w:spacing w:before="0" w:after="40"/>
        <w:ind w:firstLine="288"/>
        <w:jc w:val="both"/>
      </w:pPr>
      <w:r>
        <w:rPr>
          <w:rFonts w:ascii="Times New Roman" w:hAnsi="Times New Roman"/>
          <w:b w:val="0"/>
          <w:i w:val="0"/>
          <w:sz w:val="21"/>
        </w:rPr>
        <w:t>where f is the convolution filter, d is the dilation factor, and the causal padding ensures no future information leaks. Dilation rates are set to d ∈ {1, 2, 4, 8, 16}, giving a receptive field of:</w:t>
      </w:r>
    </w:p>
    <w:p>
      <w:pPr>
        <w:spacing w:before="0" w:after="0"/>
        <w:ind w:left="216"/>
        <w:jc w:val="left"/>
        <w:shd w:val="clear" w:color="auto" w:fill="F2F2F2"/>
      </w:pPr>
      <w:r>
        <w:rPr>
          <w:rFonts w:ascii="Courier New" w:hAnsi="Courier New"/>
          <w:sz w:val="16"/>
        </w:rPr>
        <w:t>R = 1 + (kernel_size − 1) × Σ_d d = 1 + 2 × 31 = 63 days   (5)</w:t>
      </w:r>
    </w:p>
    <w:p>
      <w:pPr>
        <w:spacing w:after="40"/>
      </w:pPr>
    </w:p>
    <w:p>
      <w:pPr>
        <w:spacing w:before="0" w:after="40"/>
        <w:ind w:firstLine="288"/>
        <w:jc w:val="both"/>
      </w:pPr>
      <w:r>
        <w:rPr>
          <w:rFonts w:ascii="Times New Roman" w:hAnsi="Times New Roman"/>
          <w:b w:val="0"/>
          <w:i w:val="0"/>
          <w:sz w:val="21"/>
        </w:rPr>
        <w:t>This covers the full 60-day lookback window without any gradient vanishing across layers.</w:t>
      </w:r>
    </w:p>
    <w:p>
      <w:pPr>
        <w:spacing w:before="0" w:after="40"/>
        <w:ind w:firstLine="288"/>
        <w:jc w:val="both"/>
      </w:pPr>
      <w:r>
        <w:rPr>
          <w:rFonts w:ascii="Times New Roman" w:hAnsi="Times New Roman"/>
          <w:b w:val="0"/>
          <w:i w:val="0"/>
          <w:sz w:val="21"/>
        </w:rPr>
        <w:t xml:space="preserve">Each dilated block is wrapped in a </w:t>
      </w:r>
      <w:r>
        <w:rPr>
          <w:rFonts w:ascii="Times New Roman" w:hAnsi="Times New Roman"/>
          <w:b/>
          <w:i w:val="0"/>
          <w:sz w:val="21"/>
        </w:rPr>
        <w:t>residual connection</w:t>
      </w:r>
      <w:r>
        <w:rPr>
          <w:rFonts w:ascii="Times New Roman" w:hAnsi="Times New Roman"/>
          <w:b w:val="0"/>
          <w:i w:val="0"/>
          <w:sz w:val="21"/>
        </w:rPr>
        <w:t xml:space="preserve"> to stabilize training:</w:t>
      </w:r>
    </w:p>
    <w:p>
      <w:pPr>
        <w:spacing w:before="0" w:after="0"/>
        <w:ind w:left="216"/>
        <w:jc w:val="left"/>
        <w:shd w:val="clear" w:color="auto" w:fill="F2F2F2"/>
      </w:pPr>
      <w:r>
        <w:rPr>
          <w:rFonts w:ascii="Courier New" w:hAnsi="Courier New"/>
          <w:sz w:val="16"/>
        </w:rPr>
        <w:t>o = Activation(BatchNorm(Conv1D_causal(x))) + Conv1D(x, 1×1)  (6)</w:t>
      </w:r>
    </w:p>
    <w:p>
      <w:pPr>
        <w:spacing w:after="40"/>
      </w:pPr>
    </w:p>
    <w:p>
      <w:pPr>
        <w:spacing w:before="0" w:after="40"/>
        <w:ind w:firstLine="288"/>
        <w:jc w:val="both"/>
      </w:pPr>
      <w:r>
        <w:rPr>
          <w:rFonts w:ascii="Times New Roman" w:hAnsi="Times New Roman"/>
          <w:b w:val="0"/>
          <w:i w:val="0"/>
          <w:sz w:val="21"/>
        </w:rPr>
      </w:r>
      <w:r>
        <w:rPr>
          <w:rFonts w:ascii="Times New Roman" w:hAnsi="Times New Roman"/>
          <w:b/>
          <w:i w:val="0"/>
          <w:sz w:val="21"/>
        </w:rPr>
        <w:t>Additive (Bahdanau-style) Attention</w:t>
      </w:r>
      <w:r>
        <w:rPr>
          <w:rFonts w:ascii="Times New Roman" w:hAnsi="Times New Roman"/>
          <w:b w:val="0"/>
          <w:i w:val="0"/>
          <w:sz w:val="21"/>
        </w:rPr>
        <w:t xml:space="preserve"> is applied over the 5 TCN output blocks. Let H be the (batch, timesteps, filters) TCN output:</w:t>
      </w:r>
    </w:p>
    <w:p>
      <w:pPr>
        <w:spacing w:before="0" w:after="0"/>
        <w:ind w:left="216"/>
        <w:jc w:val="left"/>
        <w:shd w:val="clear" w:color="auto" w:fill="F2F2F2"/>
      </w:pPr>
      <w:r>
        <w:rPr>
          <w:rFonts w:ascii="Courier New" w:hAnsi="Courier New"/>
          <w:sz w:val="16"/>
        </w:rPr>
        <w:t>score(h_t) = V^T · tanh(W · h_t)                    (7)</w:t>
      </w:r>
    </w:p>
    <w:p>
      <w:pPr>
        <w:spacing w:before="0" w:after="0"/>
        <w:ind w:left="216"/>
        <w:jc w:val="left"/>
        <w:shd w:val="clear" w:color="auto" w:fill="F2F2F2"/>
      </w:pPr>
      <w:r>
        <w:rPr>
          <w:rFonts w:ascii="Courier New" w:hAnsi="Courier New"/>
          <w:sz w:val="16"/>
        </w:rPr>
        <w:t>α_t = softmax(score(h_t))                           (8)</w:t>
      </w:r>
    </w:p>
    <w:p>
      <w:pPr>
        <w:spacing w:before="0" w:after="0"/>
        <w:ind w:left="216"/>
        <w:jc w:val="left"/>
        <w:shd w:val="clear" w:color="auto" w:fill="F2F2F2"/>
      </w:pPr>
      <w:r>
        <w:rPr>
          <w:rFonts w:ascii="Courier New" w:hAnsi="Courier New"/>
          <w:sz w:val="16"/>
        </w:rPr>
        <w:t>context = Σ_t α_t · h_t                             (9)</w:t>
      </w:r>
    </w:p>
    <w:p>
      <w:pPr>
        <w:spacing w:after="40"/>
      </w:pPr>
    </w:p>
    <w:p>
      <w:pPr>
        <w:spacing w:before="0" w:after="40"/>
        <w:ind w:firstLine="288"/>
        <w:jc w:val="both"/>
      </w:pPr>
      <w:r>
        <w:rPr>
          <w:rFonts w:ascii="Times New Roman" w:hAnsi="Times New Roman"/>
          <w:b w:val="0"/>
          <w:i w:val="0"/>
          <w:sz w:val="21"/>
        </w:rPr>
        <w:t>The attention mechanism allows the model to up-weight critical volatility spikes or earnings periods in the 60-day window. The full TCN architecture is:</w:t>
      </w:r>
    </w:p>
    <w:p>
      <w:pPr>
        <w:spacing w:before="0" w:after="0"/>
        <w:ind w:left="216"/>
        <w:jc w:val="left"/>
        <w:shd w:val="clear" w:color="auto" w:fill="F2F2F2"/>
      </w:pPr>
      <w:r>
        <w:rPr>
          <w:rFonts w:ascii="Courier New" w:hAnsi="Courier New"/>
          <w:sz w:val="16"/>
        </w:rPr>
        <w:t>Input(60, n_features)</w:t>
      </w:r>
    </w:p>
    <w:p>
      <w:pPr>
        <w:spacing w:before="0" w:after="0"/>
        <w:ind w:left="216"/>
        <w:jc w:val="left"/>
        <w:shd w:val="clear" w:color="auto" w:fill="F2F2F2"/>
      </w:pPr>
      <w:r>
        <w:rPr>
          <w:rFonts w:ascii="Courier New" w:hAnsi="Courier New"/>
          <w:sz w:val="16"/>
        </w:rPr>
        <w:t xml:space="preserve">  → ResidualTCN(d=1,  filters=128, kernel=3, dropout=0.2)</w:t>
      </w:r>
    </w:p>
    <w:p>
      <w:pPr>
        <w:spacing w:before="0" w:after="0"/>
        <w:ind w:left="216"/>
        <w:jc w:val="left"/>
        <w:shd w:val="clear" w:color="auto" w:fill="F2F2F2"/>
      </w:pPr>
      <w:r>
        <w:rPr>
          <w:rFonts w:ascii="Courier New" w:hAnsi="Courier New"/>
          <w:sz w:val="16"/>
        </w:rPr>
        <w:t xml:space="preserve">  → ResidualTCN(d=2,  filters=128, kernel=3, dropout=0.2)</w:t>
      </w:r>
    </w:p>
    <w:p>
      <w:pPr>
        <w:spacing w:before="0" w:after="0"/>
        <w:ind w:left="216"/>
        <w:jc w:val="left"/>
        <w:shd w:val="clear" w:color="auto" w:fill="F2F2F2"/>
      </w:pPr>
      <w:r>
        <w:rPr>
          <w:rFonts w:ascii="Courier New" w:hAnsi="Courier New"/>
          <w:sz w:val="16"/>
        </w:rPr>
        <w:t xml:space="preserve">  → ResidualTCN(d=4,  filters=128, kernel=3, dropout=0.2)</w:t>
      </w:r>
    </w:p>
    <w:p>
      <w:pPr>
        <w:spacing w:before="0" w:after="0"/>
        <w:ind w:left="216"/>
        <w:jc w:val="left"/>
        <w:shd w:val="clear" w:color="auto" w:fill="F2F2F2"/>
      </w:pPr>
      <w:r>
        <w:rPr>
          <w:rFonts w:ascii="Courier New" w:hAnsi="Courier New"/>
          <w:sz w:val="16"/>
        </w:rPr>
        <w:t xml:space="preserve">  → ResidualTCN(d=8,  filters=128, kernel=3, dropout=0.2)</w:t>
      </w:r>
    </w:p>
    <w:p>
      <w:pPr>
        <w:spacing w:before="0" w:after="0"/>
        <w:ind w:left="216"/>
        <w:jc w:val="left"/>
        <w:shd w:val="clear" w:color="auto" w:fill="F2F2F2"/>
      </w:pPr>
      <w:r>
        <w:rPr>
          <w:rFonts w:ascii="Courier New" w:hAnsi="Courier New"/>
          <w:sz w:val="16"/>
        </w:rPr>
        <w:t xml:space="preserve">  → ResidualTCN(d=16, filters=128, kernel=3, dropout=0.2)</w:t>
      </w:r>
    </w:p>
    <w:p>
      <w:pPr>
        <w:spacing w:before="0" w:after="0"/>
        <w:ind w:left="216"/>
        <w:jc w:val="left"/>
        <w:shd w:val="clear" w:color="auto" w:fill="F2F2F2"/>
      </w:pPr>
      <w:r>
        <w:rPr>
          <w:rFonts w:ascii="Courier New" w:hAnsi="Courier New"/>
          <w:sz w:val="16"/>
        </w:rPr>
        <w:t xml:space="preserve">  → AdditiveAttention(units=64)</w:t>
      </w:r>
    </w:p>
    <w:p>
      <w:pPr>
        <w:spacing w:before="0" w:after="0"/>
        <w:ind w:left="216"/>
        <w:jc w:val="left"/>
        <w:shd w:val="clear" w:color="auto" w:fill="F2F2F2"/>
      </w:pPr>
      <w:r>
        <w:rPr>
          <w:rFonts w:ascii="Courier New" w:hAnsi="Courier New"/>
          <w:sz w:val="16"/>
        </w:rPr>
        <w:t xml:space="preserve">  → Dense(32, relu, L2=1e-4)</w:t>
      </w:r>
    </w:p>
    <w:p>
      <w:pPr>
        <w:spacing w:before="0" w:after="0"/>
        <w:ind w:left="216"/>
        <w:jc w:val="left"/>
        <w:shd w:val="clear" w:color="auto" w:fill="F2F2F2"/>
      </w:pPr>
      <w:r>
        <w:rPr>
          <w:rFonts w:ascii="Courier New" w:hAnsi="Courier New"/>
          <w:sz w:val="16"/>
        </w:rPr>
        <w:t xml:space="preserve">  → Dropout(0.2)</w:t>
      </w:r>
    </w:p>
    <w:p>
      <w:pPr>
        <w:spacing w:before="0" w:after="0"/>
        <w:ind w:left="216"/>
        <w:jc w:val="left"/>
        <w:shd w:val="clear" w:color="auto" w:fill="F2F2F2"/>
      </w:pPr>
      <w:r>
        <w:rPr>
          <w:rFonts w:ascii="Courier New" w:hAnsi="Courier New"/>
          <w:sz w:val="16"/>
        </w:rPr>
        <w:t xml:space="preserve">  → Dense(1, sigmoid)</w:t>
      </w:r>
    </w:p>
    <w:p>
      <w:pPr>
        <w:spacing w:after="40"/>
      </w:pPr>
    </w:p>
    <w:p>
      <w:pPr>
        <w:spacing w:before="0" w:after="40"/>
        <w:ind w:firstLine="288"/>
        <w:jc w:val="both"/>
      </w:pPr>
      <w:r>
        <w:rPr>
          <w:rFonts w:ascii="Times New Roman" w:hAnsi="Times New Roman"/>
          <w:b w:val="0"/>
          <w:i w:val="0"/>
          <w:sz w:val="21"/>
        </w:rPr>
        <w:t>Training: Adam(lr=0.001), binary cross-entropy, batch_size=32, EarlyStopping(patience=8), ReduceLROnPlateau(factor=0.5, patience=3, min_lr=1e-5).</w:t>
      </w:r>
    </w:p>
    <w:p>
      <w:pPr>
        <w:spacing w:before="120" w:after="40"/>
        <w:jc w:val="left"/>
      </w:pPr>
      <w:r>
        <w:rPr>
          <w:rFonts w:ascii="Times New Roman" w:hAnsi="Times New Roman"/>
          <w:b/>
          <w:i/>
          <w:sz w:val="21"/>
        </w:rPr>
        <w:t>7) Monte Carlo Dropout: Epistemic Uncertainty Quantification</w:t>
      </w:r>
    </w:p>
    <w:p>
      <w:pPr>
        <w:spacing w:before="0" w:after="40"/>
        <w:ind w:firstLine="288"/>
        <w:jc w:val="both"/>
      </w:pPr>
      <w:r>
        <w:rPr>
          <w:rFonts w:ascii="Times New Roman" w:hAnsi="Times New Roman"/>
          <w:b w:val="0"/>
          <w:i w:val="0"/>
          <w:sz w:val="21"/>
        </w:rPr>
        <w:t xml:space="preserve">During standard inference, Dropout is disabled. Our architecture introduces </w:t>
      </w:r>
      <w:r>
        <w:rPr>
          <w:rFonts w:ascii="Times New Roman" w:hAnsi="Times New Roman"/>
          <w:b/>
          <w:i w:val="0"/>
          <w:sz w:val="21"/>
        </w:rPr>
        <w:t>MC Dropout</w:t>
      </w:r>
      <w:r>
        <w:rPr>
          <w:rFonts w:ascii="Times New Roman" w:hAnsi="Times New Roman"/>
          <w:b w:val="0"/>
          <w:i w:val="0"/>
          <w:sz w:val="21"/>
        </w:rPr>
        <w:t xml:space="preserve">: the Dropout(0.2) layers are forced to remain </w:t>
      </w:r>
      <w:r>
        <w:rPr>
          <w:rFonts w:ascii="Times New Roman" w:hAnsi="Times New Roman"/>
          <w:b/>
          <w:i w:val="0"/>
          <w:sz w:val="21"/>
        </w:rPr>
        <w:t>active</w:t>
      </w:r>
      <w:r>
        <w:rPr>
          <w:rFonts w:ascii="Times New Roman" w:hAnsi="Times New Roman"/>
          <w:b w:val="0"/>
          <w:i w:val="0"/>
          <w:sz w:val="21"/>
        </w:rPr>
        <w:t xml:space="preserve"> during prediction by passing `training=True` to the Keras model call. By running N=50 stochastic forward passes:</w:t>
      </w:r>
    </w:p>
    <w:p>
      <w:pPr>
        <w:spacing w:before="0" w:after="0"/>
        <w:ind w:left="216"/>
        <w:jc w:val="left"/>
        <w:shd w:val="clear" w:color="auto" w:fill="F2F2F2"/>
      </w:pPr>
      <w:r>
        <w:rPr>
          <w:rFonts w:ascii="Courier New" w:hAnsi="Courier New"/>
          <w:sz w:val="16"/>
        </w:rPr>
        <w:t>{ŷ_1, ŷ_2, ..., ŷ_N} where each ŷ_i ~ p(y|x, θ_i)    (10)</w:t>
      </w:r>
    </w:p>
    <w:p>
      <w:pPr>
        <w:spacing w:after="40"/>
      </w:pPr>
    </w:p>
    <w:p>
      <w:pPr>
        <w:spacing w:before="0" w:after="40"/>
        <w:ind w:firstLine="288"/>
        <w:jc w:val="both"/>
      </w:pPr>
      <w:r>
        <w:rPr>
          <w:rFonts w:ascii="Times New Roman" w:hAnsi="Times New Roman"/>
          <w:b w:val="0"/>
          <w:i w:val="0"/>
          <w:sz w:val="21"/>
        </w:rPr>
        <w:t>We obtain the predictive mean and epistemic uncertainty:</w:t>
      </w:r>
    </w:p>
    <w:p>
      <w:pPr>
        <w:spacing w:before="0" w:after="0"/>
        <w:ind w:left="216"/>
        <w:jc w:val="left"/>
        <w:shd w:val="clear" w:color="auto" w:fill="F2F2F2"/>
      </w:pPr>
      <w:r>
        <w:rPr>
          <w:rFonts w:ascii="Courier New" w:hAnsi="Courier New"/>
          <w:sz w:val="16"/>
        </w:rPr>
        <w:t>μ̂ = (1/N) Σ_i ŷ_i                                 (11)</w:t>
      </w:r>
    </w:p>
    <w:p>
      <w:pPr>
        <w:spacing w:before="0" w:after="0"/>
        <w:ind w:left="216"/>
        <w:jc w:val="left"/>
        <w:shd w:val="clear" w:color="auto" w:fill="F2F2F2"/>
      </w:pPr>
      <w:r>
        <w:rPr>
          <w:rFonts w:ascii="Courier New" w:hAnsi="Courier New"/>
          <w:sz w:val="16"/>
        </w:rPr>
        <w:t>σ̂ = sqrt((1/N) Σ_i (ŷ_i - μ̂)²)                   (12)</w:t>
      </w:r>
    </w:p>
    <w:p>
      <w:pPr>
        <w:spacing w:after="40"/>
      </w:pPr>
    </w:p>
    <w:p>
      <w:pPr>
        <w:spacing w:before="0" w:after="40"/>
        <w:ind w:firstLine="288"/>
        <w:jc w:val="both"/>
      </w:pPr>
      <w:r>
        <w:rPr>
          <w:rFonts w:ascii="Times New Roman" w:hAnsi="Times New Roman"/>
          <w:b w:val="0"/>
          <w:i w:val="0"/>
          <w:sz w:val="21"/>
        </w:rPr>
        <w:t xml:space="preserve">The standard deviation σ̂ is the </w:t>
      </w:r>
      <w:r>
        <w:rPr>
          <w:rFonts w:ascii="Times New Roman" w:hAnsi="Times New Roman"/>
          <w:b/>
          <w:i w:val="0"/>
          <w:sz w:val="21"/>
        </w:rPr>
        <w:t>Epistemic Uncertainty Score</w:t>
      </w:r>
      <w:r>
        <w:rPr>
          <w:rFonts w:ascii="Times New Roman" w:hAnsi="Times New Roman"/>
          <w:b w:val="0"/>
          <w:i w:val="0"/>
          <w:sz w:val="21"/>
        </w:rPr>
        <w:t>. When σ̂ &gt; 0.15, the model is operating in a region of high distributional uncertainty—the neural network is mathematically "guessing." In this case, the system overrides the signal output with a `⚠️ HIGH RISK` flag, preventing the meta-learner from acting on unreliable inputs.</w:t>
      </w:r>
    </w:p>
    <w:p>
      <w:pPr>
        <w:spacing w:before="0" w:after="40"/>
        <w:ind w:firstLine="288"/>
        <w:jc w:val="both"/>
      </w:pPr>
      <w:r>
        <w:rPr>
          <w:rFonts w:ascii="Times New Roman" w:hAnsi="Times New Roman"/>
          <w:b w:val="0"/>
          <w:i w:val="0"/>
          <w:sz w:val="21"/>
        </w:rPr>
      </w:r>
      <w:r>
        <w:rPr>
          <w:rFonts w:ascii="Times New Roman" w:hAnsi="Times New Roman"/>
          <w:b/>
          <w:i w:val="0"/>
          <w:sz w:val="21"/>
        </w:rPr>
        <w:t>TABLE II. Uncertainty Threshold Interpretation</w:t>
      </w:r>
      <w:r>
        <w:rPr>
          <w:rFonts w:ascii="Times New Roman" w:hAnsi="Times New Roman"/>
          <w:b w:val="0"/>
          <w:i w:val="0"/>
          <w:sz w:val="21"/>
        </w:rPr>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
              <w:rPr>
                <w:rFonts w:ascii="Times New Roman" w:hAnsi="Times New Roman"/>
                <w:b/>
                <w:sz w:val="18"/>
              </w:rPr>
              <w:t>Uncertainty Score (σ̂)</w:t>
            </w:r>
          </w:p>
        </w:tc>
        <w:tc>
          <w:tcPr>
            <w:tcW w:type="dxa" w:w="3480"/>
          </w:tcPr>
          <w:p>
            <w:pPr>
              <w:jc w:val="center"/>
            </w:pPr>
            <w:r/>
            <w:r>
              <w:rPr>
                <w:rFonts w:ascii="Times New Roman" w:hAnsi="Times New Roman"/>
                <w:b/>
                <w:sz w:val="18"/>
              </w:rPr>
              <w:t>Risk Classification</w:t>
            </w:r>
          </w:p>
        </w:tc>
        <w:tc>
          <w:tcPr>
            <w:tcW w:type="dxa" w:w="3480"/>
          </w:tcPr>
          <w:p>
            <w:pPr>
              <w:jc w:val="center"/>
            </w:pPr>
            <w:r/>
            <w:r>
              <w:rPr>
                <w:rFonts w:ascii="Times New Roman" w:hAnsi="Times New Roman"/>
                <w:b/>
                <w:sz w:val="18"/>
              </w:rPr>
              <w:t>System Action</w:t>
            </w:r>
          </w:p>
        </w:tc>
      </w:tr>
      <w:tr>
        <w:tc>
          <w:tcPr>
            <w:tcW w:type="dxa" w:w="3480"/>
          </w:tcPr>
          <w:p>
            <w:pPr>
              <w:jc w:val="center"/>
            </w:pPr>
            <w:r/>
            <w:r>
              <w:rPr>
                <w:rFonts w:ascii="Times New Roman" w:hAnsi="Times New Roman"/>
                <w:sz w:val="18"/>
              </w:rPr>
              <w:t>σ̂ ≤ 0.05</w:t>
            </w:r>
          </w:p>
        </w:tc>
        <w:tc>
          <w:tcPr>
            <w:tcW w:type="dxa" w:w="3480"/>
          </w:tcPr>
          <w:p>
            <w:pPr>
              <w:jc w:val="center"/>
            </w:pPr>
            <w:r/>
            <w:r>
              <w:rPr>
                <w:rFonts w:ascii="Times New Roman" w:hAnsi="Times New Roman"/>
                <w:sz w:val="18"/>
              </w:rPr>
              <w:t>Very Stable</w:t>
            </w:r>
          </w:p>
        </w:tc>
        <w:tc>
          <w:tcPr>
            <w:tcW w:type="dxa" w:w="3480"/>
          </w:tcPr>
          <w:p>
            <w:pPr>
              <w:jc w:val="center"/>
            </w:pPr>
            <w:r/>
            <w:r>
              <w:rPr>
                <w:rFonts w:ascii="Times New Roman" w:hAnsi="Times New Roman"/>
                <w:sz w:val="18"/>
              </w:rPr>
              <w:t>Standard signal</w:t>
            </w:r>
          </w:p>
        </w:tc>
      </w:tr>
      <w:tr>
        <w:tc>
          <w:tcPr>
            <w:tcW w:type="dxa" w:w="3480"/>
          </w:tcPr>
          <w:p>
            <w:pPr>
              <w:jc w:val="center"/>
            </w:pPr>
            <w:r/>
            <w:r>
              <w:rPr>
                <w:rFonts w:ascii="Times New Roman" w:hAnsi="Times New Roman"/>
                <w:sz w:val="18"/>
              </w:rPr>
              <w:t>0.05 &lt; σ̂ ≤ 0.15</w:t>
            </w:r>
          </w:p>
        </w:tc>
        <w:tc>
          <w:tcPr>
            <w:tcW w:type="dxa" w:w="3480"/>
          </w:tcPr>
          <w:p>
            <w:pPr>
              <w:jc w:val="center"/>
            </w:pPr>
            <w:r/>
            <w:r>
              <w:rPr>
                <w:rFonts w:ascii="Times New Roman" w:hAnsi="Times New Roman"/>
                <w:sz w:val="18"/>
              </w:rPr>
              <w:t>Stable</w:t>
            </w:r>
          </w:p>
        </w:tc>
        <w:tc>
          <w:tcPr>
            <w:tcW w:type="dxa" w:w="3480"/>
          </w:tcPr>
          <w:p>
            <w:pPr>
              <w:jc w:val="center"/>
            </w:pPr>
            <w:r/>
            <w:r>
              <w:rPr>
                <w:rFonts w:ascii="Times New Roman" w:hAnsi="Times New Roman"/>
                <w:sz w:val="18"/>
              </w:rPr>
              <w:t>Standard signal</w:t>
            </w:r>
          </w:p>
        </w:tc>
      </w:tr>
      <w:tr>
        <w:tc>
          <w:tcPr>
            <w:tcW w:type="dxa" w:w="3480"/>
          </w:tcPr>
          <w:p>
            <w:pPr>
              <w:jc w:val="center"/>
            </w:pPr>
            <w:r/>
            <w:r>
              <w:rPr>
                <w:rFonts w:ascii="Times New Roman" w:hAnsi="Times New Roman"/>
                <w:sz w:val="18"/>
              </w:rPr>
              <w:t>0.15 &lt; σ̂ ≤ 0.25</w:t>
            </w:r>
          </w:p>
        </w:tc>
        <w:tc>
          <w:tcPr>
            <w:tcW w:type="dxa" w:w="3480"/>
          </w:tcPr>
          <w:p>
            <w:pPr>
              <w:jc w:val="center"/>
            </w:pPr>
            <w:r/>
            <w:r>
              <w:rPr>
                <w:rFonts w:ascii="Times New Roman" w:hAnsi="Times New Roman"/>
                <w:sz w:val="18"/>
              </w:rPr>
              <w:t>HIGH RISK</w:t>
            </w:r>
          </w:p>
        </w:tc>
        <w:tc>
          <w:tcPr>
            <w:tcW w:type="dxa" w:w="3480"/>
          </w:tcPr>
          <w:p>
            <w:pPr>
              <w:jc w:val="center"/>
            </w:pPr>
            <w:r/>
            <w:r>
              <w:rPr>
                <w:rFonts w:ascii="Times New Roman" w:hAnsi="Times New Roman"/>
                <w:sz w:val="18"/>
              </w:rPr>
              <w:t>Signal flagged with ⚠️ warning</w:t>
            </w:r>
          </w:p>
        </w:tc>
      </w:tr>
      <w:tr>
        <w:tc>
          <w:tcPr>
            <w:tcW w:type="dxa" w:w="3480"/>
          </w:tcPr>
          <w:p>
            <w:pPr>
              <w:jc w:val="center"/>
            </w:pPr>
            <w:r/>
            <w:r>
              <w:rPr>
                <w:rFonts w:ascii="Times New Roman" w:hAnsi="Times New Roman"/>
                <w:sz w:val="18"/>
              </w:rPr>
              <w:t>σ̂ &gt; 0.25</w:t>
            </w:r>
          </w:p>
        </w:tc>
        <w:tc>
          <w:tcPr>
            <w:tcW w:type="dxa" w:w="3480"/>
          </w:tcPr>
          <w:p>
            <w:pPr>
              <w:jc w:val="center"/>
            </w:pPr>
            <w:r/>
            <w:r>
              <w:rPr>
                <w:rFonts w:ascii="Times New Roman" w:hAnsi="Times New Roman"/>
                <w:sz w:val="18"/>
              </w:rPr>
              <w:t>CRITICAL RISK</w:t>
            </w:r>
          </w:p>
        </w:tc>
        <w:tc>
          <w:tcPr>
            <w:tcW w:type="dxa" w:w="3480"/>
          </w:tcPr>
          <w:p>
            <w:pPr>
              <w:jc w:val="center"/>
            </w:pPr>
            <w:r/>
            <w:r>
              <w:rPr>
                <w:rFonts w:ascii="Times New Roman" w:hAnsi="Times New Roman"/>
                <w:sz w:val="18"/>
              </w:rPr>
              <w:t>Signal suppressed</w:t>
            </w:r>
          </w:p>
        </w:tc>
      </w:tr>
    </w:tbl>
    <w:p>
      <w:pPr>
        <w:spacing w:after="80"/>
      </w:pPr>
    </w:p>
    <w:p>
      <w:pPr>
        <w:spacing w:before="120" w:after="40"/>
        <w:jc w:val="left"/>
      </w:pPr>
      <w:r>
        <w:rPr>
          <w:rFonts w:ascii="Times New Roman" w:hAnsi="Times New Roman"/>
          <w:b/>
          <w:i/>
          <w:sz w:val="21"/>
        </w:rPr>
        <w:t>8) LightGBM Regime-Aware Classifier (Hyper-Tuned)</w:t>
      </w:r>
    </w:p>
    <w:p>
      <w:pPr>
        <w:spacing w:before="0" w:after="40"/>
        <w:ind w:firstLine="288"/>
        <w:jc w:val="both"/>
      </w:pPr>
      <w:r>
        <w:rPr>
          <w:rFonts w:ascii="Times New Roman" w:hAnsi="Times New Roman"/>
          <w:b w:val="0"/>
          <w:i w:val="0"/>
          <w:sz w:val="21"/>
        </w:rPr>
        <w:t>The market is partitioned into four regimes using EMA(50) and ADX(14):</w:t>
      </w:r>
    </w:p>
    <w:p>
      <w:pPr>
        <w:spacing w:before="0" w:after="40"/>
        <w:ind w:firstLine="288"/>
        <w:jc w:val="both"/>
      </w:pPr>
      <w:r>
        <w:rPr>
          <w:rFonts w:ascii="Times New Roman" w:hAnsi="Times New Roman"/>
          <w:b w:val="0"/>
          <w:i w:val="0"/>
          <w:sz w:val="21"/>
        </w:rPr>
      </w:r>
      <w:r>
        <w:rPr>
          <w:rFonts w:ascii="Times New Roman" w:hAnsi="Times New Roman"/>
          <w:b/>
          <w:i w:val="0"/>
          <w:sz w:val="21"/>
        </w:rPr>
        <w:t>TABLE III. Market Regime Classification Rules</w:t>
      </w:r>
      <w:r>
        <w:rPr>
          <w:rFonts w:ascii="Times New Roman" w:hAnsi="Times New Roman"/>
          <w:b w:val="0"/>
          <w:i w:val="0"/>
          <w:sz w:val="21"/>
        </w:rPr>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jc w:val="center"/>
            </w:pPr>
            <w:r/>
            <w:r>
              <w:rPr>
                <w:rFonts w:ascii="Times New Roman" w:hAnsi="Times New Roman"/>
                <w:b/>
                <w:sz w:val="18"/>
              </w:rPr>
              <w:t>Regime</w:t>
            </w:r>
          </w:p>
        </w:tc>
        <w:tc>
          <w:tcPr>
            <w:tcW w:type="dxa" w:w="2610"/>
          </w:tcPr>
          <w:p>
            <w:pPr>
              <w:jc w:val="center"/>
            </w:pPr>
            <w:r/>
            <w:r>
              <w:rPr>
                <w:rFonts w:ascii="Times New Roman" w:hAnsi="Times New Roman"/>
                <w:b/>
                <w:sz w:val="18"/>
              </w:rPr>
              <w:t>EMA(50) Condition</w:t>
            </w:r>
          </w:p>
        </w:tc>
        <w:tc>
          <w:tcPr>
            <w:tcW w:type="dxa" w:w="2610"/>
          </w:tcPr>
          <w:p>
            <w:pPr>
              <w:jc w:val="center"/>
            </w:pPr>
            <w:r/>
            <w:r>
              <w:rPr>
                <w:rFonts w:ascii="Times New Roman" w:hAnsi="Times New Roman"/>
                <w:b/>
                <w:sz w:val="18"/>
              </w:rPr>
              <w:t>ADX(14) Condition</w:t>
            </w:r>
          </w:p>
        </w:tc>
        <w:tc>
          <w:tcPr>
            <w:tcW w:type="dxa" w:w="2610"/>
          </w:tcPr>
          <w:p>
            <w:pPr>
              <w:jc w:val="center"/>
            </w:pPr>
            <w:r/>
            <w:r>
              <w:rPr>
                <w:rFonts w:ascii="Times New Roman" w:hAnsi="Times New Roman"/>
                <w:b/>
                <w:sz w:val="18"/>
              </w:rPr>
              <w:t>Label</w:t>
            </w:r>
          </w:p>
        </w:tc>
      </w:tr>
      <w:tr>
        <w:tc>
          <w:tcPr>
            <w:tcW w:type="dxa" w:w="2610"/>
          </w:tcPr>
          <w:p>
            <w:pPr>
              <w:jc w:val="center"/>
            </w:pPr>
            <w:r/>
            <w:r>
              <w:rPr>
                <w:rFonts w:ascii="Times New Roman" w:hAnsi="Times New Roman"/>
                <w:sz w:val="18"/>
              </w:rPr>
              <w:t>0</w:t>
            </w:r>
          </w:p>
        </w:tc>
        <w:tc>
          <w:tcPr>
            <w:tcW w:type="dxa" w:w="2610"/>
          </w:tcPr>
          <w:p>
            <w:pPr>
              <w:jc w:val="center"/>
            </w:pPr>
            <w:r/>
            <w:r>
              <w:rPr>
                <w:rFonts w:ascii="Times New Roman" w:hAnsi="Times New Roman"/>
                <w:sz w:val="18"/>
              </w:rPr>
              <w:t>Close &gt; EMA(50)</w:t>
            </w:r>
          </w:p>
        </w:tc>
        <w:tc>
          <w:tcPr>
            <w:tcW w:type="dxa" w:w="2610"/>
          </w:tcPr>
          <w:p>
            <w:pPr>
              <w:jc w:val="center"/>
            </w:pPr>
            <w:r/>
            <w:r>
              <w:rPr>
                <w:rFonts w:ascii="Times New Roman" w:hAnsi="Times New Roman"/>
                <w:sz w:val="18"/>
              </w:rPr>
              <w:t>ADX &gt; 25</w:t>
            </w:r>
          </w:p>
        </w:tc>
        <w:tc>
          <w:tcPr>
            <w:tcW w:type="dxa" w:w="2610"/>
          </w:tcPr>
          <w:p>
            <w:pPr>
              <w:jc w:val="center"/>
            </w:pPr>
            <w:r/>
            <w:r>
              <w:rPr>
                <w:rFonts w:ascii="Times New Roman" w:hAnsi="Times New Roman"/>
                <w:sz w:val="18"/>
              </w:rPr>
              <w:t>Bull Trending</w:t>
            </w:r>
          </w:p>
        </w:tc>
      </w:tr>
      <w:tr>
        <w:tc>
          <w:tcPr>
            <w:tcW w:type="dxa" w:w="2610"/>
          </w:tcPr>
          <w:p>
            <w:pPr>
              <w:jc w:val="center"/>
            </w:pPr>
            <w:r/>
            <w:r>
              <w:rPr>
                <w:rFonts w:ascii="Times New Roman" w:hAnsi="Times New Roman"/>
                <w:sz w:val="18"/>
              </w:rPr>
              <w:t>1</w:t>
            </w:r>
          </w:p>
        </w:tc>
        <w:tc>
          <w:tcPr>
            <w:tcW w:type="dxa" w:w="2610"/>
          </w:tcPr>
          <w:p>
            <w:pPr>
              <w:jc w:val="center"/>
            </w:pPr>
            <w:r/>
            <w:r>
              <w:rPr>
                <w:rFonts w:ascii="Times New Roman" w:hAnsi="Times New Roman"/>
                <w:sz w:val="18"/>
              </w:rPr>
              <w:t>Close &gt; EMA(50)</w:t>
            </w:r>
          </w:p>
        </w:tc>
        <w:tc>
          <w:tcPr>
            <w:tcW w:type="dxa" w:w="2610"/>
          </w:tcPr>
          <w:p>
            <w:pPr>
              <w:jc w:val="center"/>
            </w:pPr>
            <w:r/>
            <w:r>
              <w:rPr>
                <w:rFonts w:ascii="Times New Roman" w:hAnsi="Times New Roman"/>
                <w:sz w:val="18"/>
              </w:rPr>
              <w:t>ADX ≤ 25</w:t>
            </w:r>
          </w:p>
        </w:tc>
        <w:tc>
          <w:tcPr>
            <w:tcW w:type="dxa" w:w="2610"/>
          </w:tcPr>
          <w:p>
            <w:pPr>
              <w:jc w:val="center"/>
            </w:pPr>
            <w:r/>
            <w:r>
              <w:rPr>
                <w:rFonts w:ascii="Times New Roman" w:hAnsi="Times New Roman"/>
                <w:sz w:val="18"/>
              </w:rPr>
              <w:t>Bull Ranging</w:t>
            </w:r>
          </w:p>
        </w:tc>
      </w:tr>
      <w:tr>
        <w:tc>
          <w:tcPr>
            <w:tcW w:type="dxa" w:w="2610"/>
          </w:tcPr>
          <w:p>
            <w:pPr>
              <w:jc w:val="center"/>
            </w:pPr>
            <w:r/>
            <w:r>
              <w:rPr>
                <w:rFonts w:ascii="Times New Roman" w:hAnsi="Times New Roman"/>
                <w:sz w:val="18"/>
              </w:rPr>
              <w:t>2</w:t>
            </w:r>
          </w:p>
        </w:tc>
        <w:tc>
          <w:tcPr>
            <w:tcW w:type="dxa" w:w="2610"/>
          </w:tcPr>
          <w:p>
            <w:pPr>
              <w:jc w:val="center"/>
            </w:pPr>
            <w:r/>
            <w:r>
              <w:rPr>
                <w:rFonts w:ascii="Times New Roman" w:hAnsi="Times New Roman"/>
                <w:sz w:val="18"/>
              </w:rPr>
              <w:t>Close ≤ EMA(50)</w:t>
            </w:r>
          </w:p>
        </w:tc>
        <w:tc>
          <w:tcPr>
            <w:tcW w:type="dxa" w:w="2610"/>
          </w:tcPr>
          <w:p>
            <w:pPr>
              <w:jc w:val="center"/>
            </w:pPr>
            <w:r/>
            <w:r>
              <w:rPr>
                <w:rFonts w:ascii="Times New Roman" w:hAnsi="Times New Roman"/>
                <w:sz w:val="18"/>
              </w:rPr>
              <w:t>ADX &gt; 25</w:t>
            </w:r>
          </w:p>
        </w:tc>
        <w:tc>
          <w:tcPr>
            <w:tcW w:type="dxa" w:w="2610"/>
          </w:tcPr>
          <w:p>
            <w:pPr>
              <w:jc w:val="center"/>
            </w:pPr>
            <w:r/>
            <w:r>
              <w:rPr>
                <w:rFonts w:ascii="Times New Roman" w:hAnsi="Times New Roman"/>
                <w:sz w:val="18"/>
              </w:rPr>
              <w:t>Bear Trending</w:t>
            </w:r>
          </w:p>
        </w:tc>
      </w:tr>
      <w:tr>
        <w:tc>
          <w:tcPr>
            <w:tcW w:type="dxa" w:w="2610"/>
          </w:tcPr>
          <w:p>
            <w:pPr>
              <w:jc w:val="center"/>
            </w:pPr>
            <w:r/>
            <w:r>
              <w:rPr>
                <w:rFonts w:ascii="Times New Roman" w:hAnsi="Times New Roman"/>
                <w:sz w:val="18"/>
              </w:rPr>
              <w:t>3</w:t>
            </w:r>
          </w:p>
        </w:tc>
        <w:tc>
          <w:tcPr>
            <w:tcW w:type="dxa" w:w="2610"/>
          </w:tcPr>
          <w:p>
            <w:pPr>
              <w:jc w:val="center"/>
            </w:pPr>
            <w:r/>
            <w:r>
              <w:rPr>
                <w:rFonts w:ascii="Times New Roman" w:hAnsi="Times New Roman"/>
                <w:sz w:val="18"/>
              </w:rPr>
              <w:t>Close ≤ EMA(50)</w:t>
            </w:r>
          </w:p>
        </w:tc>
        <w:tc>
          <w:tcPr>
            <w:tcW w:type="dxa" w:w="2610"/>
          </w:tcPr>
          <w:p>
            <w:pPr>
              <w:jc w:val="center"/>
            </w:pPr>
            <w:r/>
            <w:r>
              <w:rPr>
                <w:rFonts w:ascii="Times New Roman" w:hAnsi="Times New Roman"/>
                <w:sz w:val="18"/>
              </w:rPr>
              <w:t>ADX ≤ 25</w:t>
            </w:r>
          </w:p>
        </w:tc>
        <w:tc>
          <w:tcPr>
            <w:tcW w:type="dxa" w:w="2610"/>
          </w:tcPr>
          <w:p>
            <w:pPr>
              <w:jc w:val="center"/>
            </w:pPr>
            <w:r/>
            <w:r>
              <w:rPr>
                <w:rFonts w:ascii="Times New Roman" w:hAnsi="Times New Roman"/>
                <w:sz w:val="18"/>
              </w:rPr>
              <w:t>Bear Ranging</w:t>
            </w:r>
          </w:p>
        </w:tc>
      </w:tr>
    </w:tbl>
    <w:p>
      <w:pPr>
        <w:spacing w:after="80"/>
      </w:pPr>
    </w:p>
    <w:p>
      <w:pPr>
        <w:spacing w:before="0" w:after="40"/>
        <w:ind w:firstLine="288"/>
        <w:jc w:val="both"/>
      </w:pPr>
      <w:r>
        <w:rPr>
          <w:rFonts w:ascii="Times New Roman" w:hAnsi="Times New Roman"/>
          <w:b w:val="0"/>
          <w:i w:val="0"/>
          <w:sz w:val="21"/>
        </w:rPr>
        <w:t xml:space="preserve">A </w:t>
      </w:r>
      <w:r>
        <w:rPr>
          <w:rFonts w:ascii="Times New Roman" w:hAnsi="Times New Roman"/>
          <w:b/>
          <w:i w:val="0"/>
          <w:sz w:val="21"/>
        </w:rPr>
        <w:t>single global</w:t>
      </w:r>
      <w:r>
        <w:rPr>
          <w:rFonts w:ascii="Times New Roman" w:hAnsi="Times New Roman"/>
          <w:b w:val="0"/>
          <w:i w:val="0"/>
          <w:sz w:val="21"/>
        </w:rPr>
        <w:t xml:space="preserve"> LightGBM classifier is trained on the full dataset (rather than four independent models, to prevent overfitting on small regime-specific subsets). The `regime` variable is passed as a categorical feature, allowing LightGBM to internally learn regime-conditional splits. The 4-class target is derived from 5-day forward returns:</w:t>
      </w:r>
    </w:p>
    <w:p>
      <w:pPr>
        <w:spacing w:before="0" w:after="40"/>
        <w:ind w:firstLine="288"/>
        <w:jc w:val="both"/>
      </w:pPr>
      <w:r>
        <w:rPr>
          <w:rFonts w:ascii="Times New Roman" w:hAnsi="Times New Roman"/>
          <w:b w:val="0"/>
          <w:i w:val="0"/>
          <w:sz w:val="21"/>
        </w:rPr>
      </w:r>
      <w:r>
        <w:rPr>
          <w:rFonts w:ascii="Times New Roman" w:hAnsi="Times New Roman"/>
          <w:b/>
          <w:i w:val="0"/>
          <w:sz w:val="21"/>
        </w:rPr>
        <w:t>TABLE IV. LightGBM Target Class Definitions</w:t>
      </w:r>
      <w:r>
        <w:rPr>
          <w:rFonts w:ascii="Times New Roman" w:hAnsi="Times New Roman"/>
          <w:b w:val="0"/>
          <w:i w:val="0"/>
          <w:sz w:val="21"/>
        </w:rPr>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
              <w:rPr>
                <w:rFonts w:ascii="Times New Roman" w:hAnsi="Times New Roman"/>
                <w:b/>
                <w:sz w:val="18"/>
              </w:rPr>
              <w:t>Class</w:t>
            </w:r>
          </w:p>
        </w:tc>
        <w:tc>
          <w:tcPr>
            <w:tcW w:type="dxa" w:w="3480"/>
          </w:tcPr>
          <w:p>
            <w:pPr>
              <w:jc w:val="center"/>
            </w:pPr>
            <w:r/>
            <w:r>
              <w:rPr>
                <w:rFonts w:ascii="Times New Roman" w:hAnsi="Times New Roman"/>
                <w:b/>
                <w:sz w:val="18"/>
              </w:rPr>
              <w:t>5-Day Forward Return</w:t>
            </w:r>
          </w:p>
        </w:tc>
        <w:tc>
          <w:tcPr>
            <w:tcW w:type="dxa" w:w="3480"/>
          </w:tcPr>
          <w:p>
            <w:pPr>
              <w:jc w:val="center"/>
            </w:pPr>
            <w:r/>
            <w:r>
              <w:rPr>
                <w:rFonts w:ascii="Times New Roman" w:hAnsi="Times New Roman"/>
                <w:b/>
                <w:sz w:val="18"/>
              </w:rPr>
              <w:t>Signal</w:t>
            </w:r>
          </w:p>
        </w:tc>
      </w:tr>
      <w:tr>
        <w:tc>
          <w:tcPr>
            <w:tcW w:type="dxa" w:w="3480"/>
          </w:tcPr>
          <w:p>
            <w:pPr>
              <w:jc w:val="center"/>
            </w:pPr>
            <w:r/>
            <w:r>
              <w:rPr>
                <w:rFonts w:ascii="Times New Roman" w:hAnsi="Times New Roman"/>
                <w:sz w:val="18"/>
              </w:rPr>
              <w:t>0</w:t>
            </w:r>
          </w:p>
        </w:tc>
        <w:tc>
          <w:tcPr>
            <w:tcW w:type="dxa" w:w="3480"/>
          </w:tcPr>
          <w:p>
            <w:pPr>
              <w:jc w:val="center"/>
            </w:pPr>
            <w:r/>
            <w:r>
              <w:rPr>
                <w:rFonts w:ascii="Times New Roman" w:hAnsi="Times New Roman"/>
                <w:sz w:val="18"/>
              </w:rPr>
              <w:t>r &gt; +1.5%</w:t>
            </w:r>
          </w:p>
        </w:tc>
        <w:tc>
          <w:tcPr>
            <w:tcW w:type="dxa" w:w="3480"/>
          </w:tcPr>
          <w:p>
            <w:pPr>
              <w:jc w:val="center"/>
            </w:pPr>
            <w:r/>
            <w:r>
              <w:rPr>
                <w:rFonts w:ascii="Times New Roman" w:hAnsi="Times New Roman"/>
                <w:sz w:val="18"/>
              </w:rPr>
              <w:t>Strong Buy</w:t>
            </w:r>
          </w:p>
        </w:tc>
      </w:tr>
      <w:tr>
        <w:tc>
          <w:tcPr>
            <w:tcW w:type="dxa" w:w="3480"/>
          </w:tcPr>
          <w:p>
            <w:pPr>
              <w:jc w:val="center"/>
            </w:pPr>
            <w:r/>
            <w:r>
              <w:rPr>
                <w:rFonts w:ascii="Times New Roman" w:hAnsi="Times New Roman"/>
                <w:sz w:val="18"/>
              </w:rPr>
              <w:t>1</w:t>
            </w:r>
          </w:p>
        </w:tc>
        <w:tc>
          <w:tcPr>
            <w:tcW w:type="dxa" w:w="3480"/>
          </w:tcPr>
          <w:p>
            <w:pPr>
              <w:jc w:val="center"/>
            </w:pPr>
            <w:r/>
            <w:r>
              <w:rPr>
                <w:rFonts w:ascii="Times New Roman" w:hAnsi="Times New Roman"/>
                <w:sz w:val="18"/>
              </w:rPr>
              <w:t>0% &lt; r ≤ +1.5%</w:t>
            </w:r>
          </w:p>
        </w:tc>
        <w:tc>
          <w:tcPr>
            <w:tcW w:type="dxa" w:w="3480"/>
          </w:tcPr>
          <w:p>
            <w:pPr>
              <w:jc w:val="center"/>
            </w:pPr>
            <w:r/>
            <w:r>
              <w:rPr>
                <w:rFonts w:ascii="Times New Roman" w:hAnsi="Times New Roman"/>
                <w:sz w:val="18"/>
              </w:rPr>
              <w:t>Buy</w:t>
            </w:r>
          </w:p>
        </w:tc>
      </w:tr>
      <w:tr>
        <w:tc>
          <w:tcPr>
            <w:tcW w:type="dxa" w:w="3480"/>
          </w:tcPr>
          <w:p>
            <w:pPr>
              <w:jc w:val="center"/>
            </w:pPr>
            <w:r/>
            <w:r>
              <w:rPr>
                <w:rFonts w:ascii="Times New Roman" w:hAnsi="Times New Roman"/>
                <w:sz w:val="18"/>
              </w:rPr>
              <w:t>2</w:t>
            </w:r>
          </w:p>
        </w:tc>
        <w:tc>
          <w:tcPr>
            <w:tcW w:type="dxa" w:w="3480"/>
          </w:tcPr>
          <w:p>
            <w:pPr>
              <w:jc w:val="center"/>
            </w:pPr>
            <w:r/>
            <w:r>
              <w:rPr>
                <w:rFonts w:ascii="Times New Roman" w:hAnsi="Times New Roman"/>
                <w:sz w:val="18"/>
              </w:rPr>
              <w:t>-1.5% ≤ r ≤ 0%</w:t>
            </w:r>
          </w:p>
        </w:tc>
        <w:tc>
          <w:tcPr>
            <w:tcW w:type="dxa" w:w="3480"/>
          </w:tcPr>
          <w:p>
            <w:pPr>
              <w:jc w:val="center"/>
            </w:pPr>
            <w:r/>
            <w:r>
              <w:rPr>
                <w:rFonts w:ascii="Times New Roman" w:hAnsi="Times New Roman"/>
                <w:sz w:val="18"/>
              </w:rPr>
              <w:t>Hold</w:t>
            </w:r>
          </w:p>
        </w:tc>
      </w:tr>
      <w:tr>
        <w:tc>
          <w:tcPr>
            <w:tcW w:type="dxa" w:w="3480"/>
          </w:tcPr>
          <w:p>
            <w:pPr>
              <w:jc w:val="center"/>
            </w:pPr>
            <w:r/>
            <w:r>
              <w:rPr>
                <w:rFonts w:ascii="Times New Roman" w:hAnsi="Times New Roman"/>
                <w:sz w:val="18"/>
              </w:rPr>
              <w:t>3</w:t>
            </w:r>
          </w:p>
        </w:tc>
        <w:tc>
          <w:tcPr>
            <w:tcW w:type="dxa" w:w="3480"/>
          </w:tcPr>
          <w:p>
            <w:pPr>
              <w:jc w:val="center"/>
            </w:pPr>
            <w:r/>
            <w:r>
              <w:rPr>
                <w:rFonts w:ascii="Times New Roman" w:hAnsi="Times New Roman"/>
                <w:sz w:val="18"/>
              </w:rPr>
              <w:t>r &lt; -1.5%</w:t>
            </w:r>
          </w:p>
        </w:tc>
        <w:tc>
          <w:tcPr>
            <w:tcW w:type="dxa" w:w="3480"/>
          </w:tcPr>
          <w:p>
            <w:pPr>
              <w:jc w:val="center"/>
            </w:pPr>
            <w:r/>
            <w:r>
              <w:rPr>
                <w:rFonts w:ascii="Times New Roman" w:hAnsi="Times New Roman"/>
                <w:sz w:val="18"/>
              </w:rPr>
              <w:t>Sell</w:t>
            </w:r>
          </w:p>
        </w:tc>
      </w:tr>
    </w:tbl>
    <w:p>
      <w:pPr>
        <w:spacing w:after="80"/>
      </w:pPr>
    </w:p>
    <w:p>
      <w:pPr>
        <w:spacing w:before="0" w:after="40"/>
        <w:ind w:firstLine="288"/>
        <w:jc w:val="both"/>
      </w:pPr>
      <w:r>
        <w:rPr>
          <w:rFonts w:ascii="Times New Roman" w:hAnsi="Times New Roman"/>
          <w:b w:val="0"/>
          <w:i w:val="0"/>
          <w:sz w:val="21"/>
        </w:rPr>
      </w:r>
      <w:r>
        <w:rPr>
          <w:rFonts w:ascii="Times New Roman" w:hAnsi="Times New Roman"/>
          <w:b/>
          <w:i w:val="0"/>
          <w:sz w:val="21"/>
        </w:rPr>
        <w:t>Hyper-tuned LightGBM configuration</w:t>
      </w:r>
      <w:r>
        <w:rPr>
          <w:rFonts w:ascii="Times New Roman" w:hAnsi="Times New Roman"/>
          <w:b w:val="0"/>
          <w:i w:val="0"/>
          <w:sz w:val="21"/>
        </w:rPr>
        <w:t xml:space="preserve"> (10-trial Random Search per asset):</w:t>
      </w:r>
    </w:p>
    <w:p>
      <w:pPr>
        <w:spacing w:before="0" w:after="20"/>
        <w:ind w:left="288" w:hanging="216"/>
        <w:jc w:val="left"/>
      </w:pPr>
      <w:r>
        <w:rPr>
          <w:rFonts w:ascii="Times New Roman" w:hAnsi="Times New Roman"/>
          <w:b w:val="0"/>
          <w:i w:val="0"/>
          <w:sz w:val="21"/>
        </w:rPr>
        <w:t>`num_leaves`: 31 (best found), `learning_rate`: 0.01, `n_estimators`: 600</w:t>
      </w:r>
    </w:p>
    <w:p>
      <w:pPr>
        <w:spacing w:before="0" w:after="20"/>
        <w:ind w:left="288" w:hanging="216"/>
        <w:jc w:val="left"/>
      </w:pPr>
      <w:r>
        <w:rPr>
          <w:rFonts w:ascii="Times New Roman" w:hAnsi="Times New Roman"/>
          <w:b w:val="0"/>
          <w:i w:val="0"/>
          <w:sz w:val="21"/>
        </w:rPr>
        <w:t>`subsample`: 0.7, `reg_lambda`: 0.5, `reg_alpha`: 0.0</w:t>
      </w:r>
    </w:p>
    <w:p>
      <w:pPr>
        <w:spacing w:before="120" w:after="40"/>
        <w:jc w:val="left"/>
      </w:pPr>
      <w:r>
        <w:rPr>
          <w:rFonts w:ascii="Times New Roman" w:hAnsi="Times New Roman"/>
          <w:b/>
          <w:i/>
          <w:sz w:val="21"/>
        </w:rPr>
        <w:t>9) F1-Maximised, AUC-Optimized Meta-Learner (v2)</w:t>
      </w:r>
    </w:p>
    <w:p>
      <w:pPr>
        <w:spacing w:before="0" w:after="40"/>
        <w:ind w:firstLine="288"/>
        <w:jc w:val="both"/>
      </w:pPr>
      <w:r>
        <w:rPr>
          <w:rFonts w:ascii="Times New Roman" w:hAnsi="Times New Roman"/>
          <w:b w:val="0"/>
          <w:i w:val="0"/>
          <w:sz w:val="21"/>
        </w:rPr>
        <w:t>The Isotonic-Calibrated Meta-Learner has been rebuilt to be AUC-optimized rather than calibration-focused. The stacker now uses `objective="binary", metric="auc"` so it explicitly maximises discrimination rather than log-loss. Three key architectural changes were made:</w:t>
      </w:r>
    </w:p>
    <w:p>
      <w:pPr>
        <w:spacing w:before="0" w:after="20"/>
        <w:ind w:left="288" w:hanging="216"/>
        <w:jc w:val="left"/>
      </w:pPr>
      <w:r>
        <w:rPr>
          <w:rFonts w:ascii="Times New Roman" w:hAnsi="Times New Roman"/>
          <w:b w:val="0"/>
          <w:i w:val="0"/>
          <w:sz w:val="21"/>
        </w:rPr>
      </w:r>
      <w:r>
        <w:rPr>
          <w:rFonts w:ascii="Times New Roman" w:hAnsi="Times New Roman"/>
          <w:b/>
          <w:i w:val="0"/>
          <w:sz w:val="21"/>
        </w:rPr>
        <w:t>Rank-Normalized Features:</w:t>
      </w:r>
      <w:r>
        <w:rPr>
          <w:rFonts w:ascii="Times New Roman" w:hAnsi="Times New Roman"/>
          <w:b w:val="0"/>
          <w:i w:val="0"/>
          <w:sz w:val="21"/>
        </w:rPr>
        <w:t xml:space="preserve"> Instead of raw probabilities, the stacker receives rank-normalized scores. Rank averaging is mathematically proven to preserve or improve AUC when mixing signals of different quality.</w:t>
      </w:r>
    </w:p>
    <w:p>
      <w:pPr>
        <w:spacing w:before="0" w:after="20"/>
        <w:ind w:left="288" w:hanging="216"/>
        <w:jc w:val="left"/>
      </w:pPr>
      <w:r>
        <w:rPr>
          <w:rFonts w:ascii="Times New Roman" w:hAnsi="Times New Roman"/>
          <w:b w:val="0"/>
          <w:i w:val="0"/>
          <w:sz w:val="21"/>
        </w:rPr>
      </w:r>
      <w:r>
        <w:rPr>
          <w:rFonts w:ascii="Times New Roman" w:hAnsi="Times New Roman"/>
          <w:b/>
          <w:i w:val="0"/>
          <w:sz w:val="21"/>
        </w:rPr>
        <w:t>LightGBM Entropy Feature:</w:t>
      </w:r>
      <w:r>
        <w:rPr>
          <w:rFonts w:ascii="Times New Roman" w:hAnsi="Times New Roman"/>
          <w:b w:val="0"/>
          <w:i w:val="0"/>
          <w:sz w:val="21"/>
        </w:rPr>
        <w:t xml:space="preserve"> The Shannon entropy of the LightGBM 4-class probability vector is passed as an additional meta-feature, allowing the stacker to down-weight uncertain tabular predictions.</w:t>
      </w:r>
    </w:p>
    <w:p>
      <w:pPr>
        <w:spacing w:before="0" w:after="20"/>
        <w:ind w:left="288" w:hanging="216"/>
        <w:jc w:val="left"/>
      </w:pPr>
      <w:r>
        <w:rPr>
          <w:rFonts w:ascii="Times New Roman" w:hAnsi="Times New Roman"/>
          <w:b w:val="0"/>
          <w:i w:val="0"/>
          <w:sz w:val="21"/>
        </w:rPr>
      </w:r>
      <w:r>
        <w:rPr>
          <w:rFonts w:ascii="Times New Roman" w:hAnsi="Times New Roman"/>
          <w:b/>
          <w:i w:val="0"/>
          <w:sz w:val="21"/>
        </w:rPr>
        <w:t>Self-Correcting Fallback:</w:t>
      </w:r>
      <w:r>
        <w:rPr>
          <w:rFonts w:ascii="Times New Roman" w:hAnsi="Times New Roman"/>
          <w:b w:val="0"/>
          <w:i w:val="0"/>
          <w:sz w:val="21"/>
        </w:rPr>
        <w:t xml:space="preserve"> On the validation fold, the stacker compares its AUC against a grid-searched optimal rank-blend (Eq. 15). If the stacker degrades the AUC below the rank-blend ceiling, the system automatically falls back to the rank-blend — guaranteeing the ensemble can never underperform the best single-model AUC.</w:t>
      </w:r>
    </w:p>
    <w:p>
      <w:pPr>
        <w:spacing w:before="0" w:after="0"/>
        <w:ind w:left="216"/>
        <w:jc w:val="left"/>
        <w:shd w:val="clear" w:color="auto" w:fill="F2F2F2"/>
      </w:pPr>
      <w:r>
        <w:rPr>
          <w:rFonts w:ascii="Courier New" w:hAnsi="Courier New"/>
          <w:sz w:val="16"/>
        </w:rPr>
        <w:t>blend_score(w) = w × rank_norm(tcn_prob) + (1-w) × rank_norm(lgbm_bull_prob)   (15)</w:t>
      </w:r>
    </w:p>
    <w:p>
      <w:pPr>
        <w:spacing w:before="0" w:after="0"/>
        <w:ind w:left="216"/>
        <w:jc w:val="left"/>
        <w:shd w:val="clear" w:color="auto" w:fill="F2F2F2"/>
      </w:pPr>
      <w:r>
        <w:rPr>
          <w:rFonts w:ascii="Courier New" w:hAnsi="Courier New"/>
          <w:sz w:val="16"/>
        </w:rPr>
        <w:t>w* = argmax_{w ∈ [0.4, 0.95]} AUC(blend_score(w), y_val)                        (16)</w:t>
      </w:r>
    </w:p>
    <w:p>
      <w:pPr>
        <w:spacing w:after="40"/>
      </w:pPr>
    </w:p>
    <w:p>
      <w:pPr>
        <w:spacing w:before="0" w:after="40"/>
        <w:ind w:firstLine="288"/>
        <w:jc w:val="both"/>
      </w:pPr>
      <w:r>
        <w:rPr>
          <w:rFonts w:ascii="Times New Roman" w:hAnsi="Times New Roman"/>
          <w:b w:val="0"/>
          <w:i w:val="0"/>
          <w:sz w:val="21"/>
        </w:rPr>
        <w:t>The decision threshold for BUY vs SELL is swept from 0.1 to 0.9 in steps of 0.01 and the threshold that maximises the F1-score on the validation fold is locked in.</w:t>
      </w:r>
    </w:p>
    <w:p>
      <w:pPr>
        <w:spacing w:before="0" w:after="0"/>
        <w:ind w:left="216"/>
        <w:jc w:val="left"/>
        <w:shd w:val="clear" w:color="auto" w:fill="F2F2F2"/>
      </w:pPr>
      <w:r>
        <w:rPr>
          <w:rFonts w:ascii="Courier New" w:hAnsi="Courier New"/>
          <w:sz w:val="16"/>
        </w:rPr>
        <w:t>threshold* = argmax_τ F1(predictions &gt; τ, y_val)     (13)</w:t>
      </w:r>
    </w:p>
    <w:p>
      <w:pPr>
        <w:spacing w:after="40"/>
      </w:pPr>
    </w:p>
    <w:p>
      <w:pPr>
        <w:spacing w:before="0" w:after="40"/>
        <w:ind w:firstLine="288"/>
        <w:jc w:val="both"/>
      </w:pPr>
      <w:r>
        <w:rPr>
          <w:rFonts w:ascii="Times New Roman" w:hAnsi="Times New Roman"/>
          <w:b w:val="0"/>
          <w:i w:val="0"/>
          <w:sz w:val="21"/>
        </w:rPr>
        <w:t>Walk-forward cross-validation (TimeSeriesSplit, n_splits=3, test_size=252) prevents data leakage.</w:t>
      </w:r>
    </w:p>
    <w:p>
      <w:pPr>
        <w:spacing w:before="120" w:after="40"/>
        <w:jc w:val="left"/>
      </w:pPr>
      <w:r>
        <w:rPr>
          <w:rFonts w:ascii="Times New Roman" w:hAnsi="Times New Roman"/>
          <w:b/>
          <w:i/>
          <w:sz w:val="21"/>
        </w:rPr>
        <w:t>10) SHAP Explainability Engine</w:t>
      </w:r>
    </w:p>
    <w:p>
      <w:pPr>
        <w:spacing w:before="0" w:after="40"/>
        <w:ind w:firstLine="288"/>
        <w:jc w:val="both"/>
      </w:pPr>
      <w:r>
        <w:rPr>
          <w:rFonts w:ascii="Times New Roman" w:hAnsi="Times New Roman"/>
          <w:b w:val="0"/>
          <w:i w:val="0"/>
          <w:sz w:val="21"/>
        </w:rPr>
        <w:t>After each live inference run, `shap.TreeExplainer` is applied to the fitted LightGBM model on a representative sample (up to 1,000 rows):</w:t>
      </w:r>
    </w:p>
    <w:p>
      <w:pPr>
        <w:spacing w:before="0" w:after="0"/>
        <w:ind w:left="216"/>
        <w:jc w:val="left"/>
        <w:shd w:val="clear" w:color="auto" w:fill="F2F2F2"/>
      </w:pPr>
      <w:r>
        <w:rPr>
          <w:rFonts w:ascii="Courier New" w:hAnsi="Courier New"/>
          <w:sz w:val="16"/>
        </w:rPr>
        <w:t>φ_i(f, x) = Σ_{S ⊆ F\{i}} [|S|!(|F|−|S|−1)! / |F|!] [f(S ∪ {i}) − f(S)]  (14)</w:t>
      </w:r>
    </w:p>
    <w:p>
      <w:pPr>
        <w:spacing w:after="40"/>
      </w:pPr>
    </w:p>
    <w:p>
      <w:pPr>
        <w:spacing w:before="0" w:after="40"/>
        <w:ind w:firstLine="288"/>
        <w:jc w:val="both"/>
      </w:pPr>
      <w:r>
        <w:rPr>
          <w:rFonts w:ascii="Times New Roman" w:hAnsi="Times New Roman"/>
          <w:b w:val="0"/>
          <w:i w:val="0"/>
          <w:sz w:val="21"/>
        </w:rPr>
        <w:t>where φ_i is the SHAP value for feature i, F is the full feature set, and S is a feature coalition. A global SHAP summary plot is saved as `output/{TICKER}_shap_summary.png`, visually ranking all features by mean absolute SHAP contribution.</w:t>
      </w:r>
    </w:p>
    <w:p>
      <w:pPr>
        <w:spacing w:before="120" w:after="40"/>
        <w:jc w:val="left"/>
      </w:pPr>
      <w:r>
        <w:rPr>
          <w:rFonts w:ascii="Times New Roman" w:hAnsi="Times New Roman"/>
          <w:b/>
          <w:i w:val="0"/>
          <w:sz w:val="21"/>
        </w:rPr>
        <w:t>B. Credit Score Estimation Module (Unchanged)</w:t>
      </w:r>
    </w:p>
    <w:p>
      <w:pPr>
        <w:spacing w:before="0" w:after="40"/>
        <w:ind w:firstLine="288"/>
        <w:jc w:val="both"/>
      </w:pPr>
      <w:r>
        <w:rPr>
          <w:rFonts w:ascii="Times New Roman" w:hAnsi="Times New Roman"/>
          <w:b w:val="0"/>
          <w:i w:val="0"/>
          <w:sz w:val="21"/>
        </w:rPr>
        <w:t>FinSight implements a dual-mode credit assessment system. The primary scorer is a LightGBM Regressor trained on 42 financial features. An offline fallback uses a deterministic 5-factor model:</w:t>
      </w:r>
    </w:p>
    <w:p>
      <w:pPr>
        <w:spacing w:before="0" w:after="0"/>
        <w:ind w:left="216"/>
        <w:jc w:val="left"/>
        <w:shd w:val="clear" w:color="auto" w:fill="F2F2F2"/>
      </w:pPr>
      <w:r>
        <w:rPr>
          <w:rFonts w:ascii="Courier New" w:hAnsi="Courier New"/>
          <w:sz w:val="16"/>
        </w:rPr>
        <w:t>S = 300 + F_payment + F_utilization + F_age + F_mix + F_inquiry     (3)</w:t>
      </w:r>
    </w:p>
    <w:p>
      <w:pPr>
        <w:spacing w:after="40"/>
      </w:pPr>
    </w:p>
    <w:p>
      <w:pPr>
        <w:spacing w:before="0" w:after="40"/>
        <w:ind w:firstLine="288"/>
        <w:jc w:val="both"/>
      </w:pPr>
      <w:r>
        <w:rPr>
          <w:rFonts w:ascii="Times New Roman" w:hAnsi="Times New Roman"/>
          <w:b w:val="0"/>
          <w:i w:val="0"/>
          <w:sz w:val="21"/>
        </w:rPr>
      </w:r>
      <w:r>
        <w:rPr>
          <w:rFonts w:ascii="Times New Roman" w:hAnsi="Times New Roman"/>
          <w:b/>
          <w:i w:val="0"/>
          <w:sz w:val="21"/>
        </w:rPr>
        <w:t>Payment History:</w:t>
      </w:r>
      <w:r>
        <w:rPr>
          <w:rFonts w:ascii="Times New Roman" w:hAnsi="Times New Roman"/>
          <w:b w:val="0"/>
          <w:i w:val="0"/>
          <w:sz w:val="21"/>
        </w:rPr>
        <w:t xml:space="preserve"> `F_payment = clamp(2.1 × p_OTP − 15 × n_missed, 0, 210)`</w:t>
      </w:r>
    </w:p>
    <w:p>
      <w:pPr>
        <w:spacing w:before="0" w:after="40"/>
        <w:ind w:firstLine="288"/>
        <w:jc w:val="both"/>
      </w:pPr>
      <w:r>
        <w:rPr>
          <w:rFonts w:ascii="Times New Roman" w:hAnsi="Times New Roman"/>
          <w:b w:val="0"/>
          <w:i w:val="0"/>
          <w:sz w:val="21"/>
        </w:rPr>
      </w:r>
      <w:r>
        <w:rPr>
          <w:rFonts w:ascii="Times New Roman" w:hAnsi="Times New Roman"/>
          <w:b/>
          <w:i w:val="0"/>
          <w:sz w:val="21"/>
        </w:rPr>
        <w:t>Credit Utilization:</w:t>
      </w:r>
      <w:r>
        <w:rPr>
          <w:rFonts w:ascii="Times New Roman" w:hAnsi="Times New Roman"/>
          <w:b w:val="0"/>
          <w:i w:val="0"/>
          <w:sz w:val="21"/>
        </w:rPr>
      </w:r>
    </w:p>
    <w:p>
      <w:pPr>
        <w:spacing w:before="0" w:after="40"/>
        <w:ind w:firstLine="288"/>
        <w:jc w:val="both"/>
      </w:pPr>
      <w:r>
        <w:rPr>
          <w:rFonts w:ascii="Times New Roman" w:hAnsi="Times New Roman"/>
          <w:b w:val="0"/>
          <w:i w:val="0"/>
          <w:sz w:val="21"/>
        </w:rPr>
      </w:r>
      <w:r>
        <w:rPr>
          <w:rFonts w:ascii="Times New Roman" w:hAnsi="Times New Roman"/>
          <w:b/>
          <w:i w:val="0"/>
          <w:sz w:val="21"/>
        </w:rPr>
        <w:t>TABLE V. Credit Utilization Scoring Formula</w:t>
      </w:r>
      <w:r>
        <w:rPr>
          <w:rFonts w:ascii="Times New Roman" w:hAnsi="Times New Roman"/>
          <w:b w:val="0"/>
          <w:i w:val="0"/>
          <w:sz w:val="21"/>
        </w:rPr>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
              <w:rPr>
                <w:rFonts w:ascii="Times New Roman" w:hAnsi="Times New Roman"/>
                <w:b/>
                <w:sz w:val="18"/>
              </w:rPr>
              <w:t>Utilization (u)</w:t>
            </w:r>
          </w:p>
        </w:tc>
        <w:tc>
          <w:tcPr>
            <w:tcW w:type="dxa" w:w="3480"/>
          </w:tcPr>
          <w:p>
            <w:pPr>
              <w:jc w:val="center"/>
            </w:pPr>
            <w:r/>
            <w:r>
              <w:rPr>
                <w:rFonts w:ascii="Times New Roman" w:hAnsi="Times New Roman"/>
                <w:b/>
                <w:sz w:val="18"/>
              </w:rPr>
              <w:t>Formula</w:t>
            </w:r>
          </w:p>
        </w:tc>
        <w:tc>
          <w:tcPr>
            <w:tcW w:type="dxa" w:w="3480"/>
          </w:tcPr>
          <w:p>
            <w:pPr>
              <w:jc w:val="center"/>
            </w:pPr>
            <w:r/>
            <w:r>
              <w:rPr>
                <w:rFonts w:ascii="Times New Roman" w:hAnsi="Times New Roman"/>
                <w:b/>
                <w:sz w:val="18"/>
              </w:rPr>
              <w:t>Range</w:t>
            </w:r>
          </w:p>
        </w:tc>
      </w:tr>
      <w:tr>
        <w:tc>
          <w:tcPr>
            <w:tcW w:type="dxa" w:w="3480"/>
          </w:tcPr>
          <w:p>
            <w:pPr>
              <w:jc w:val="center"/>
            </w:pPr>
            <w:r/>
            <w:r>
              <w:rPr>
                <w:rFonts w:ascii="Times New Roman" w:hAnsi="Times New Roman"/>
                <w:sz w:val="18"/>
              </w:rPr>
              <w:t>u ≤ 10%</w:t>
            </w:r>
          </w:p>
        </w:tc>
        <w:tc>
          <w:tcPr>
            <w:tcW w:type="dxa" w:w="3480"/>
          </w:tcPr>
          <w:p>
            <w:pPr>
              <w:jc w:val="center"/>
            </w:pPr>
            <w:r/>
            <w:r>
              <w:rPr>
                <w:rFonts w:ascii="Times New Roman" w:hAnsi="Times New Roman"/>
                <w:sz w:val="18"/>
              </w:rPr>
              <w:t>180</w:t>
            </w:r>
          </w:p>
        </w:tc>
        <w:tc>
          <w:tcPr>
            <w:tcW w:type="dxa" w:w="3480"/>
          </w:tcPr>
          <w:p>
            <w:pPr>
              <w:jc w:val="center"/>
            </w:pPr>
            <w:r/>
            <w:r>
              <w:rPr>
                <w:rFonts w:ascii="Times New Roman" w:hAnsi="Times New Roman"/>
                <w:sz w:val="18"/>
              </w:rPr>
              <w:t>180</w:t>
            </w:r>
          </w:p>
        </w:tc>
      </w:tr>
      <w:tr>
        <w:tc>
          <w:tcPr>
            <w:tcW w:type="dxa" w:w="3480"/>
          </w:tcPr>
          <w:p>
            <w:pPr>
              <w:jc w:val="center"/>
            </w:pPr>
            <w:r/>
            <w:r>
              <w:rPr>
                <w:rFonts w:ascii="Times New Roman" w:hAnsi="Times New Roman"/>
                <w:sz w:val="18"/>
              </w:rPr>
              <w:t>10% &lt; u ≤ 30%</w:t>
            </w:r>
          </w:p>
        </w:tc>
        <w:tc>
          <w:tcPr>
            <w:tcW w:type="dxa" w:w="3480"/>
          </w:tcPr>
          <w:p>
            <w:pPr>
              <w:jc w:val="center"/>
            </w:pPr>
            <w:r/>
            <w:r>
              <w:rPr>
                <w:rFonts w:ascii="Times New Roman" w:hAnsi="Times New Roman"/>
                <w:sz w:val="18"/>
              </w:rPr>
              <w:t>180 − (u−10)/20 × 40</w:t>
            </w:r>
          </w:p>
        </w:tc>
        <w:tc>
          <w:tcPr>
            <w:tcW w:type="dxa" w:w="3480"/>
          </w:tcPr>
          <w:p>
            <w:pPr>
              <w:jc w:val="center"/>
            </w:pPr>
            <w:r/>
            <w:r>
              <w:rPr>
                <w:rFonts w:ascii="Times New Roman" w:hAnsi="Times New Roman"/>
                <w:sz w:val="18"/>
              </w:rPr>
              <w:t>140–180</w:t>
            </w:r>
          </w:p>
        </w:tc>
      </w:tr>
      <w:tr>
        <w:tc>
          <w:tcPr>
            <w:tcW w:type="dxa" w:w="3480"/>
          </w:tcPr>
          <w:p>
            <w:pPr>
              <w:jc w:val="center"/>
            </w:pPr>
            <w:r/>
            <w:r>
              <w:rPr>
                <w:rFonts w:ascii="Times New Roman" w:hAnsi="Times New Roman"/>
                <w:sz w:val="18"/>
              </w:rPr>
              <w:t>30% &lt; u ≤ 50%</w:t>
            </w:r>
          </w:p>
        </w:tc>
        <w:tc>
          <w:tcPr>
            <w:tcW w:type="dxa" w:w="3480"/>
          </w:tcPr>
          <w:p>
            <w:pPr>
              <w:jc w:val="center"/>
            </w:pPr>
            <w:r/>
            <w:r>
              <w:rPr>
                <w:rFonts w:ascii="Times New Roman" w:hAnsi="Times New Roman"/>
                <w:sz w:val="18"/>
              </w:rPr>
              <w:t>140 − (u−30)/20 × 60</w:t>
            </w:r>
          </w:p>
        </w:tc>
        <w:tc>
          <w:tcPr>
            <w:tcW w:type="dxa" w:w="3480"/>
          </w:tcPr>
          <w:p>
            <w:pPr>
              <w:jc w:val="center"/>
            </w:pPr>
            <w:r/>
            <w:r>
              <w:rPr>
                <w:rFonts w:ascii="Times New Roman" w:hAnsi="Times New Roman"/>
                <w:sz w:val="18"/>
              </w:rPr>
              <w:t>80–140</w:t>
            </w:r>
          </w:p>
        </w:tc>
      </w:tr>
      <w:tr>
        <w:tc>
          <w:tcPr>
            <w:tcW w:type="dxa" w:w="3480"/>
          </w:tcPr>
          <w:p>
            <w:pPr>
              <w:jc w:val="center"/>
            </w:pPr>
            <w:r/>
            <w:r>
              <w:rPr>
                <w:rFonts w:ascii="Times New Roman" w:hAnsi="Times New Roman"/>
                <w:sz w:val="18"/>
              </w:rPr>
              <w:t>u &gt; 50%</w:t>
            </w:r>
          </w:p>
        </w:tc>
        <w:tc>
          <w:tcPr>
            <w:tcW w:type="dxa" w:w="3480"/>
          </w:tcPr>
          <w:p>
            <w:pPr>
              <w:jc w:val="center"/>
            </w:pPr>
            <w:r/>
            <w:r>
              <w:rPr>
                <w:rFonts w:ascii="Times New Roman" w:hAnsi="Times New Roman"/>
                <w:sz w:val="18"/>
              </w:rPr>
              <w:t>80 − (u−50)/50 × 80</w:t>
            </w:r>
          </w:p>
        </w:tc>
        <w:tc>
          <w:tcPr>
            <w:tcW w:type="dxa" w:w="3480"/>
          </w:tcPr>
          <w:p>
            <w:pPr>
              <w:jc w:val="center"/>
            </w:pPr>
            <w:r/>
            <w:r>
              <w:rPr>
                <w:rFonts w:ascii="Times New Roman" w:hAnsi="Times New Roman"/>
                <w:sz w:val="18"/>
              </w:rPr>
              <w:t>0–80</w:t>
            </w:r>
          </w:p>
        </w:tc>
      </w:tr>
    </w:tbl>
    <w:p>
      <w:pPr>
        <w:spacing w:after="80"/>
      </w:pPr>
    </w:p>
    <w:p>
      <w:pPr>
        <w:spacing w:before="0" w:after="40"/>
        <w:ind w:firstLine="288"/>
        <w:jc w:val="both"/>
      </w:pPr>
      <w:r>
        <w:rPr>
          <w:rFonts w:ascii="Times New Roman" w:hAnsi="Times New Roman"/>
          <w:b w:val="0"/>
          <w:i w:val="0"/>
          <w:sz w:val="21"/>
        </w:rPr>
      </w:r>
      <w:r>
        <w:rPr>
          <w:rFonts w:ascii="Times New Roman" w:hAnsi="Times New Roman"/>
          <w:b/>
          <w:i w:val="0"/>
          <w:sz w:val="21"/>
        </w:rPr>
        <w:t>Credit Age:</w:t>
      </w:r>
      <w:r>
        <w:rPr>
          <w:rFonts w:ascii="Times New Roman" w:hAnsi="Times New Roman"/>
          <w:b w:val="0"/>
          <w:i w:val="0"/>
          <w:sz w:val="21"/>
        </w:rPr>
        <w:t xml:space="preserve"> `F_age = clamp(6 × a_years, 0, 90)`</w:t>
      </w:r>
    </w:p>
    <w:p>
      <w:pPr>
        <w:spacing w:before="0" w:after="40"/>
        <w:ind w:firstLine="288"/>
        <w:jc w:val="both"/>
      </w:pPr>
      <w:r>
        <w:rPr>
          <w:rFonts w:ascii="Times New Roman" w:hAnsi="Times New Roman"/>
          <w:b w:val="0"/>
          <w:i w:val="0"/>
          <w:sz w:val="21"/>
        </w:rPr>
      </w:r>
      <w:r>
        <w:rPr>
          <w:rFonts w:ascii="Times New Roman" w:hAnsi="Times New Roman"/>
          <w:b/>
          <w:i w:val="0"/>
          <w:sz w:val="21"/>
        </w:rPr>
        <w:t>Credit Mix:</w:t>
      </w:r>
      <w:r>
        <w:rPr>
          <w:rFonts w:ascii="Times New Roman" w:hAnsi="Times New Roman"/>
          <w:b w:val="0"/>
          <w:i w:val="0"/>
          <w:sz w:val="21"/>
        </w:rPr>
        <w:t xml:space="preserve"> `F_mix = 20 × (1[n_cards&gt;0] + 1[n_secured&gt;0] + 1[n_unsecured&gt;0])`</w:t>
      </w:r>
    </w:p>
    <w:p>
      <w:pPr>
        <w:spacing w:before="0" w:after="40"/>
        <w:ind w:firstLine="288"/>
        <w:jc w:val="both"/>
      </w:pPr>
      <w:r>
        <w:rPr>
          <w:rFonts w:ascii="Times New Roman" w:hAnsi="Times New Roman"/>
          <w:b w:val="0"/>
          <w:i w:val="0"/>
          <w:sz w:val="21"/>
        </w:rPr>
      </w:r>
      <w:r>
        <w:rPr>
          <w:rFonts w:ascii="Times New Roman" w:hAnsi="Times New Roman"/>
          <w:b/>
          <w:i w:val="0"/>
          <w:sz w:val="21"/>
        </w:rPr>
        <w:t>New Inquiries:</w:t>
      </w:r>
      <w:r>
        <w:rPr>
          <w:rFonts w:ascii="Times New Roman" w:hAnsi="Times New Roman"/>
          <w:b w:val="0"/>
          <w:i w:val="0"/>
          <w:sz w:val="21"/>
        </w:rPr>
        <w:t xml:space="preserve"> `F_inquiry = clamp(60 − 10 × n_hard, 0, 60)`</w:t>
      </w:r>
    </w:p>
    <w:p>
      <w:pPr>
        <w:spacing w:before="0" w:after="40"/>
        <w:ind w:firstLine="288"/>
        <w:jc w:val="both"/>
      </w:pPr>
      <w:r>
        <w:rPr>
          <w:rFonts w:ascii="Times New Roman" w:hAnsi="Times New Roman"/>
          <w:b w:val="0"/>
          <w:i w:val="0"/>
          <w:sz w:val="21"/>
        </w:rPr>
      </w:r>
      <w:r>
        <w:rPr>
          <w:rFonts w:ascii="Times New Roman" w:hAnsi="Times New Roman"/>
          <w:b/>
          <w:i w:val="0"/>
          <w:sz w:val="21"/>
        </w:rPr>
        <w:t>TABLE VI. CIBIL Score Bands</w:t>
      </w:r>
      <w:r>
        <w:rPr>
          <w:rFonts w:ascii="Times New Roman" w:hAnsi="Times New Roman"/>
          <w:b w:val="0"/>
          <w:i w:val="0"/>
          <w:sz w:val="21"/>
        </w:rPr>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
              <w:rPr>
                <w:rFonts w:ascii="Times New Roman" w:hAnsi="Times New Roman"/>
                <w:b/>
                <w:sz w:val="18"/>
              </w:rPr>
              <w:t>Score Range</w:t>
            </w:r>
          </w:p>
        </w:tc>
        <w:tc>
          <w:tcPr>
            <w:tcW w:type="dxa" w:w="3480"/>
          </w:tcPr>
          <w:p>
            <w:pPr>
              <w:jc w:val="center"/>
            </w:pPr>
            <w:r/>
            <w:r>
              <w:rPr>
                <w:rFonts w:ascii="Times New Roman" w:hAnsi="Times New Roman"/>
                <w:b/>
                <w:sz w:val="18"/>
              </w:rPr>
              <w:t>Band</w:t>
            </w:r>
          </w:p>
        </w:tc>
        <w:tc>
          <w:tcPr>
            <w:tcW w:type="dxa" w:w="3480"/>
          </w:tcPr>
          <w:p>
            <w:pPr>
              <w:jc w:val="center"/>
            </w:pPr>
            <w:r/>
            <w:r>
              <w:rPr>
                <w:rFonts w:ascii="Times New Roman" w:hAnsi="Times New Roman"/>
                <w:b/>
                <w:sz w:val="18"/>
              </w:rPr>
              <w:t>Creditworthiness</w:t>
            </w:r>
          </w:p>
        </w:tc>
      </w:tr>
      <w:tr>
        <w:tc>
          <w:tcPr>
            <w:tcW w:type="dxa" w:w="3480"/>
          </w:tcPr>
          <w:p>
            <w:pPr>
              <w:jc w:val="center"/>
            </w:pPr>
            <w:r/>
            <w:r>
              <w:rPr>
                <w:rFonts w:ascii="Times New Roman" w:hAnsi="Times New Roman"/>
                <w:sz w:val="18"/>
              </w:rPr>
              <w:t>300–549</w:t>
            </w:r>
          </w:p>
        </w:tc>
        <w:tc>
          <w:tcPr>
            <w:tcW w:type="dxa" w:w="3480"/>
          </w:tcPr>
          <w:p>
            <w:pPr>
              <w:jc w:val="center"/>
            </w:pPr>
            <w:r/>
            <w:r>
              <w:rPr>
                <w:rFonts w:ascii="Times New Roman" w:hAnsi="Times New Roman"/>
                <w:sz w:val="18"/>
              </w:rPr>
              <w:t>Poor</w:t>
            </w:r>
          </w:p>
        </w:tc>
        <w:tc>
          <w:tcPr>
            <w:tcW w:type="dxa" w:w="3480"/>
          </w:tcPr>
          <w:p>
            <w:pPr>
              <w:jc w:val="center"/>
            </w:pPr>
            <w:r/>
            <w:r>
              <w:rPr>
                <w:rFonts w:ascii="Times New Roman" w:hAnsi="Times New Roman"/>
                <w:sz w:val="18"/>
              </w:rPr>
              <w:t>High risk</w:t>
            </w:r>
          </w:p>
        </w:tc>
      </w:tr>
      <w:tr>
        <w:tc>
          <w:tcPr>
            <w:tcW w:type="dxa" w:w="3480"/>
          </w:tcPr>
          <w:p>
            <w:pPr>
              <w:jc w:val="center"/>
            </w:pPr>
            <w:r/>
            <w:r>
              <w:rPr>
                <w:rFonts w:ascii="Times New Roman" w:hAnsi="Times New Roman"/>
                <w:sz w:val="18"/>
              </w:rPr>
              <w:t>550–649</w:t>
            </w:r>
          </w:p>
        </w:tc>
        <w:tc>
          <w:tcPr>
            <w:tcW w:type="dxa" w:w="3480"/>
          </w:tcPr>
          <w:p>
            <w:pPr>
              <w:jc w:val="center"/>
            </w:pPr>
            <w:r/>
            <w:r>
              <w:rPr>
                <w:rFonts w:ascii="Times New Roman" w:hAnsi="Times New Roman"/>
                <w:sz w:val="18"/>
              </w:rPr>
              <w:t>Fair</w:t>
            </w:r>
          </w:p>
        </w:tc>
        <w:tc>
          <w:tcPr>
            <w:tcW w:type="dxa" w:w="3480"/>
          </w:tcPr>
          <w:p>
            <w:pPr>
              <w:jc w:val="center"/>
            </w:pPr>
            <w:r/>
            <w:r>
              <w:rPr>
                <w:rFonts w:ascii="Times New Roman" w:hAnsi="Times New Roman"/>
                <w:sz w:val="18"/>
              </w:rPr>
              <w:t>Moderate risk</w:t>
            </w:r>
          </w:p>
        </w:tc>
      </w:tr>
      <w:tr>
        <w:tc>
          <w:tcPr>
            <w:tcW w:type="dxa" w:w="3480"/>
          </w:tcPr>
          <w:p>
            <w:pPr>
              <w:jc w:val="center"/>
            </w:pPr>
            <w:r/>
            <w:r>
              <w:rPr>
                <w:rFonts w:ascii="Times New Roman" w:hAnsi="Times New Roman"/>
                <w:sz w:val="18"/>
              </w:rPr>
              <w:t>650–749</w:t>
            </w:r>
          </w:p>
        </w:tc>
        <w:tc>
          <w:tcPr>
            <w:tcW w:type="dxa" w:w="3480"/>
          </w:tcPr>
          <w:p>
            <w:pPr>
              <w:jc w:val="center"/>
            </w:pPr>
            <w:r/>
            <w:r>
              <w:rPr>
                <w:rFonts w:ascii="Times New Roman" w:hAnsi="Times New Roman"/>
                <w:sz w:val="18"/>
              </w:rPr>
              <w:t>Good</w:t>
            </w:r>
          </w:p>
        </w:tc>
        <w:tc>
          <w:tcPr>
            <w:tcW w:type="dxa" w:w="3480"/>
          </w:tcPr>
          <w:p>
            <w:pPr>
              <w:jc w:val="center"/>
            </w:pPr>
            <w:r/>
            <w:r>
              <w:rPr>
                <w:rFonts w:ascii="Times New Roman" w:hAnsi="Times New Roman"/>
                <w:sz w:val="18"/>
              </w:rPr>
              <w:t>Low risk</w:t>
            </w:r>
          </w:p>
        </w:tc>
      </w:tr>
      <w:tr>
        <w:tc>
          <w:tcPr>
            <w:tcW w:type="dxa" w:w="3480"/>
          </w:tcPr>
          <w:p>
            <w:pPr>
              <w:jc w:val="center"/>
            </w:pPr>
            <w:r/>
            <w:r>
              <w:rPr>
                <w:rFonts w:ascii="Times New Roman" w:hAnsi="Times New Roman"/>
                <w:sz w:val="18"/>
              </w:rPr>
              <w:t>750–900</w:t>
            </w:r>
          </w:p>
        </w:tc>
        <w:tc>
          <w:tcPr>
            <w:tcW w:type="dxa" w:w="3480"/>
          </w:tcPr>
          <w:p>
            <w:pPr>
              <w:jc w:val="center"/>
            </w:pPr>
            <w:r/>
            <w:r>
              <w:rPr>
                <w:rFonts w:ascii="Times New Roman" w:hAnsi="Times New Roman"/>
                <w:sz w:val="18"/>
              </w:rPr>
              <w:t>Excellent</w:t>
            </w:r>
          </w:p>
        </w:tc>
        <w:tc>
          <w:tcPr>
            <w:tcW w:type="dxa" w:w="3480"/>
          </w:tcPr>
          <w:p>
            <w:pPr>
              <w:jc w:val="center"/>
            </w:pPr>
            <w:r/>
            <w:r>
              <w:rPr>
                <w:rFonts w:ascii="Times New Roman" w:hAnsi="Times New Roman"/>
                <w:sz w:val="18"/>
              </w:rPr>
              <w:t>Very low risk</w:t>
            </w:r>
          </w:p>
        </w:tc>
      </w:tr>
    </w:tbl>
    <w:p>
      <w:pPr>
        <w:spacing w:after="80"/>
      </w:pPr>
    </w:p>
    <w:p>
      <w:pPr>
        <w:spacing w:before="120" w:after="40"/>
        <w:jc w:val="left"/>
      </w:pPr>
      <w:r>
        <w:rPr>
          <w:rFonts w:ascii="Times New Roman" w:hAnsi="Times New Roman"/>
          <w:b/>
          <w:i w:val="0"/>
          <w:sz w:val="21"/>
        </w:rPr>
        <w:t>C. Expense Tracking and Transaction Classification Module (Unchanged)</w:t>
      </w:r>
    </w:p>
    <w:p>
      <w:pPr>
        <w:spacing w:before="0" w:after="40"/>
        <w:ind w:firstLine="288"/>
        <w:jc w:val="both"/>
      </w:pPr>
      <w:r>
        <w:rPr>
          <w:rFonts w:ascii="Times New Roman" w:hAnsi="Times New Roman"/>
          <w:b w:val="0"/>
          <w:i w:val="0"/>
          <w:sz w:val="21"/>
        </w:rPr>
        <w:t>A five-stage deterministic NLP pipeline processes Indian bank SMS messages:</w:t>
      </w:r>
    </w:p>
    <w:p>
      <w:pPr>
        <w:spacing w:before="0" w:after="20"/>
        <w:ind w:left="288" w:hanging="216"/>
        <w:jc w:val="left"/>
      </w:pPr>
      <w:r>
        <w:rPr>
          <w:rFonts w:ascii="Times New Roman" w:hAnsi="Times New Roman"/>
          <w:b w:val="0"/>
          <w:i w:val="0"/>
          <w:sz w:val="21"/>
        </w:rPr>
      </w:r>
      <w:r>
        <w:rPr>
          <w:rFonts w:ascii="Times New Roman" w:hAnsi="Times New Roman"/>
          <w:b/>
          <w:i w:val="0"/>
          <w:sz w:val="21"/>
        </w:rPr>
        <w:t>Type Detection:</w:t>
      </w:r>
      <w:r>
        <w:rPr>
          <w:rFonts w:ascii="Times New Roman" w:hAnsi="Times New Roman"/>
          <w:b w:val="0"/>
          <w:i w:val="0"/>
          <w:sz w:val="21"/>
        </w:rPr>
        <w:t xml:space="preserve"> Regex-based keyword matching for debit/credit patterns</w:t>
      </w:r>
    </w:p>
    <w:p>
      <w:pPr>
        <w:spacing w:before="0" w:after="20"/>
        <w:ind w:left="288" w:hanging="216"/>
        <w:jc w:val="left"/>
      </w:pPr>
      <w:r>
        <w:rPr>
          <w:rFonts w:ascii="Times New Roman" w:hAnsi="Times New Roman"/>
          <w:b w:val="0"/>
          <w:i w:val="0"/>
          <w:sz w:val="21"/>
        </w:rPr>
      </w:r>
      <w:r>
        <w:rPr>
          <w:rFonts w:ascii="Times New Roman" w:hAnsi="Times New Roman"/>
          <w:b/>
          <w:i w:val="0"/>
          <w:sz w:val="21"/>
        </w:rPr>
        <w:t>Amount Extraction:</w:t>
      </w:r>
      <w:r>
        <w:rPr>
          <w:rFonts w:ascii="Times New Roman" w:hAnsi="Times New Roman"/>
          <w:b w:val="0"/>
          <w:i w:val="0"/>
          <w:sz w:val="21"/>
        </w:rPr>
        <w:t xml:space="preserve"> Three cascading patterns for Indian currency notations (₹, Rs., INR)</w:t>
      </w:r>
    </w:p>
    <w:p>
      <w:pPr>
        <w:spacing w:before="0" w:after="20"/>
        <w:ind w:left="288" w:hanging="216"/>
        <w:jc w:val="left"/>
      </w:pPr>
      <w:r>
        <w:rPr>
          <w:rFonts w:ascii="Times New Roman" w:hAnsi="Times New Roman"/>
          <w:b w:val="0"/>
          <w:i w:val="0"/>
          <w:sz w:val="21"/>
        </w:rPr>
      </w:r>
      <w:r>
        <w:rPr>
          <w:rFonts w:ascii="Times New Roman" w:hAnsi="Times New Roman"/>
          <w:b/>
          <w:i w:val="0"/>
          <w:sz w:val="21"/>
        </w:rPr>
        <w:t>Merchant Extraction:</w:t>
      </w:r>
      <w:r>
        <w:rPr>
          <w:rFonts w:ascii="Times New Roman" w:hAnsi="Times New Roman"/>
          <w:b w:val="0"/>
          <w:i w:val="0"/>
          <w:sz w:val="21"/>
        </w:rPr>
        <w:t xml:space="preserve"> VPA patterns → keyword patterns → SMS sender code fallback</w:t>
      </w:r>
    </w:p>
    <w:p>
      <w:pPr>
        <w:spacing w:before="0" w:after="20"/>
        <w:ind w:left="288" w:hanging="216"/>
        <w:jc w:val="left"/>
      </w:pPr>
      <w:r>
        <w:rPr>
          <w:rFonts w:ascii="Times New Roman" w:hAnsi="Times New Roman"/>
          <w:b w:val="0"/>
          <w:i w:val="0"/>
          <w:sz w:val="21"/>
        </w:rPr>
      </w:r>
      <w:r>
        <w:rPr>
          <w:rFonts w:ascii="Times New Roman" w:hAnsi="Times New Roman"/>
          <w:b/>
          <w:i w:val="0"/>
          <w:sz w:val="21"/>
        </w:rPr>
        <w:t>Category Classification:</w:t>
      </w:r>
      <w:r>
        <w:rPr>
          <w:rFonts w:ascii="Times New Roman" w:hAnsi="Times New Roman"/>
          <w:b w:val="0"/>
          <w:i w:val="0"/>
          <w:sz w:val="21"/>
        </w:rPr>
        <w:t xml:space="preserve"> Rule-based keyword matching into 10 categories</w:t>
      </w:r>
    </w:p>
    <w:p>
      <w:pPr>
        <w:spacing w:before="0" w:after="40"/>
        <w:ind w:firstLine="288"/>
        <w:jc w:val="both"/>
      </w:pPr>
      <w:r>
        <w:rPr>
          <w:rFonts w:ascii="Times New Roman" w:hAnsi="Times New Roman"/>
          <w:b w:val="0"/>
          <w:i w:val="0"/>
          <w:sz w:val="21"/>
        </w:rPr>
      </w:r>
      <w:r>
        <w:rPr>
          <w:rFonts w:ascii="Times New Roman" w:hAnsi="Times New Roman"/>
          <w:b/>
          <w:i w:val="0"/>
          <w:sz w:val="21"/>
        </w:rPr>
        <w:t>TABLE VII. SMS Auto-Categorization Keyword Mapping</w:t>
      </w:r>
      <w:r>
        <w:rPr>
          <w:rFonts w:ascii="Times New Roman" w:hAnsi="Times New Roman"/>
          <w:b w:val="0"/>
          <w:i w:val="0"/>
          <w:sz w:val="21"/>
        </w:rPr>
      </w:r>
    </w:p>
    <w:tbl>
      <w:tblPr>
        <w:tblStyle w:val="TableGrid"/>
        <w:tblW w:type="auto" w:w="0"/>
        <w:tblLook w:firstColumn="1" w:firstRow="1" w:lastColumn="0" w:lastRow="0" w:noHBand="0" w:noVBand="1" w:val="04A0"/>
      </w:tblPr>
      <w:tblGrid>
        <w:gridCol w:w="5220"/>
        <w:gridCol w:w="5220"/>
      </w:tblGrid>
      <w:tr>
        <w:tc>
          <w:tcPr>
            <w:tcW w:type="dxa" w:w="5220"/>
          </w:tcPr>
          <w:p>
            <w:pPr>
              <w:jc w:val="center"/>
            </w:pPr>
            <w:r/>
            <w:r>
              <w:rPr>
                <w:rFonts w:ascii="Times New Roman" w:hAnsi="Times New Roman"/>
                <w:b/>
                <w:sz w:val="18"/>
              </w:rPr>
              <w:t>Category</w:t>
            </w:r>
          </w:p>
        </w:tc>
        <w:tc>
          <w:tcPr>
            <w:tcW w:type="dxa" w:w="5220"/>
          </w:tcPr>
          <w:p>
            <w:pPr>
              <w:jc w:val="center"/>
            </w:pPr>
            <w:r/>
            <w:r>
              <w:rPr>
                <w:rFonts w:ascii="Times New Roman" w:hAnsi="Times New Roman"/>
                <w:b/>
                <w:sz w:val="18"/>
              </w:rPr>
              <w:t>Keywords</w:t>
            </w:r>
          </w:p>
        </w:tc>
      </w:tr>
      <w:tr>
        <w:tc>
          <w:tcPr>
            <w:tcW w:type="dxa" w:w="5220"/>
          </w:tcPr>
          <w:p>
            <w:pPr>
              <w:jc w:val="center"/>
            </w:pPr>
            <w:r/>
            <w:r>
              <w:rPr>
                <w:rFonts w:ascii="Times New Roman" w:hAnsi="Times New Roman"/>
                <w:sz w:val="18"/>
              </w:rPr>
              <w:t>Food &amp; Dining</w:t>
            </w:r>
          </w:p>
        </w:tc>
        <w:tc>
          <w:tcPr>
            <w:tcW w:type="dxa" w:w="5220"/>
          </w:tcPr>
          <w:p>
            <w:pPr>
              <w:jc w:val="center"/>
            </w:pPr>
            <w:r/>
            <w:r>
              <w:rPr>
                <w:rFonts w:ascii="Times New Roman" w:hAnsi="Times New Roman"/>
                <w:sz w:val="18"/>
              </w:rPr>
              <w:t>swiggy, zomato, restaurant, food</w:t>
            </w:r>
          </w:p>
        </w:tc>
      </w:tr>
      <w:tr>
        <w:tc>
          <w:tcPr>
            <w:tcW w:type="dxa" w:w="5220"/>
          </w:tcPr>
          <w:p>
            <w:pPr>
              <w:jc w:val="center"/>
            </w:pPr>
            <w:r/>
            <w:r>
              <w:rPr>
                <w:rFonts w:ascii="Times New Roman" w:hAnsi="Times New Roman"/>
                <w:sz w:val="18"/>
              </w:rPr>
              <w:t>Transport</w:t>
            </w:r>
          </w:p>
        </w:tc>
        <w:tc>
          <w:tcPr>
            <w:tcW w:type="dxa" w:w="5220"/>
          </w:tcPr>
          <w:p>
            <w:pPr>
              <w:jc w:val="center"/>
            </w:pPr>
            <w:r/>
            <w:r>
              <w:rPr>
                <w:rFonts w:ascii="Times New Roman" w:hAnsi="Times New Roman"/>
                <w:sz w:val="18"/>
              </w:rPr>
              <w:t>ola, uber, metro, fuel</w:t>
            </w:r>
          </w:p>
        </w:tc>
      </w:tr>
      <w:tr>
        <w:tc>
          <w:tcPr>
            <w:tcW w:type="dxa" w:w="5220"/>
          </w:tcPr>
          <w:p>
            <w:pPr>
              <w:jc w:val="center"/>
            </w:pPr>
            <w:r/>
            <w:r>
              <w:rPr>
                <w:rFonts w:ascii="Times New Roman" w:hAnsi="Times New Roman"/>
                <w:sz w:val="18"/>
              </w:rPr>
              <w:t>Shopping</w:t>
            </w:r>
          </w:p>
        </w:tc>
        <w:tc>
          <w:tcPr>
            <w:tcW w:type="dxa" w:w="5220"/>
          </w:tcPr>
          <w:p>
            <w:pPr>
              <w:jc w:val="center"/>
            </w:pPr>
            <w:r/>
            <w:r>
              <w:rPr>
                <w:rFonts w:ascii="Times New Roman" w:hAnsi="Times New Roman"/>
                <w:sz w:val="18"/>
              </w:rPr>
              <w:t>amazon, flipkart, myntra, mall</w:t>
            </w:r>
          </w:p>
        </w:tc>
      </w:tr>
      <w:tr>
        <w:tc>
          <w:tcPr>
            <w:tcW w:type="dxa" w:w="5220"/>
          </w:tcPr>
          <w:p>
            <w:pPr>
              <w:jc w:val="center"/>
            </w:pPr>
            <w:r/>
            <w:r>
              <w:rPr>
                <w:rFonts w:ascii="Times New Roman" w:hAnsi="Times New Roman"/>
                <w:sz w:val="18"/>
              </w:rPr>
              <w:t>Utilities</w:t>
            </w:r>
          </w:p>
        </w:tc>
        <w:tc>
          <w:tcPr>
            <w:tcW w:type="dxa" w:w="5220"/>
          </w:tcPr>
          <w:p>
            <w:pPr>
              <w:jc w:val="center"/>
            </w:pPr>
            <w:r/>
            <w:r>
              <w:rPr>
                <w:rFonts w:ascii="Times New Roman" w:hAnsi="Times New Roman"/>
                <w:sz w:val="18"/>
              </w:rPr>
              <w:t>electricity, water, gas, broadband</w:t>
            </w:r>
          </w:p>
        </w:tc>
      </w:tr>
      <w:tr>
        <w:tc>
          <w:tcPr>
            <w:tcW w:type="dxa" w:w="5220"/>
          </w:tcPr>
          <w:p>
            <w:pPr>
              <w:jc w:val="center"/>
            </w:pPr>
            <w:r/>
            <w:r>
              <w:rPr>
                <w:rFonts w:ascii="Times New Roman" w:hAnsi="Times New Roman"/>
                <w:sz w:val="18"/>
              </w:rPr>
              <w:t>Health</w:t>
            </w:r>
          </w:p>
        </w:tc>
        <w:tc>
          <w:tcPr>
            <w:tcW w:type="dxa" w:w="5220"/>
          </w:tcPr>
          <w:p>
            <w:pPr>
              <w:jc w:val="center"/>
            </w:pPr>
            <w:r/>
            <w:r>
              <w:rPr>
                <w:rFonts w:ascii="Times New Roman" w:hAnsi="Times New Roman"/>
                <w:sz w:val="18"/>
              </w:rPr>
              <w:t>hospital, pharmacy, medic</w:t>
            </w:r>
          </w:p>
        </w:tc>
      </w:tr>
      <w:tr>
        <w:tc>
          <w:tcPr>
            <w:tcW w:type="dxa" w:w="5220"/>
          </w:tcPr>
          <w:p>
            <w:pPr>
              <w:jc w:val="center"/>
            </w:pPr>
            <w:r/>
            <w:r>
              <w:rPr>
                <w:rFonts w:ascii="Times New Roman" w:hAnsi="Times New Roman"/>
                <w:sz w:val="18"/>
              </w:rPr>
              <w:t>Entertainment</w:t>
            </w:r>
          </w:p>
        </w:tc>
        <w:tc>
          <w:tcPr>
            <w:tcW w:type="dxa" w:w="5220"/>
          </w:tcPr>
          <w:p>
            <w:pPr>
              <w:jc w:val="center"/>
            </w:pPr>
            <w:r/>
            <w:r>
              <w:rPr>
                <w:rFonts w:ascii="Times New Roman" w:hAnsi="Times New Roman"/>
                <w:sz w:val="18"/>
              </w:rPr>
              <w:t>netflix, spotify, pvr</w:t>
            </w:r>
          </w:p>
        </w:tc>
      </w:tr>
      <w:tr>
        <w:tc>
          <w:tcPr>
            <w:tcW w:type="dxa" w:w="5220"/>
          </w:tcPr>
          <w:p>
            <w:pPr>
              <w:jc w:val="center"/>
            </w:pPr>
            <w:r/>
            <w:r>
              <w:rPr>
                <w:rFonts w:ascii="Times New Roman" w:hAnsi="Times New Roman"/>
                <w:sz w:val="18"/>
              </w:rPr>
              <w:t>Travel</w:t>
            </w:r>
          </w:p>
        </w:tc>
        <w:tc>
          <w:tcPr>
            <w:tcW w:type="dxa" w:w="5220"/>
          </w:tcPr>
          <w:p>
            <w:pPr>
              <w:jc w:val="center"/>
            </w:pPr>
            <w:r/>
            <w:r>
              <w:rPr>
                <w:rFonts w:ascii="Times New Roman" w:hAnsi="Times New Roman"/>
                <w:sz w:val="18"/>
              </w:rPr>
              <w:t>hotel, flight, mmt</w:t>
            </w:r>
          </w:p>
        </w:tc>
      </w:tr>
      <w:tr>
        <w:tc>
          <w:tcPr>
            <w:tcW w:type="dxa" w:w="5220"/>
          </w:tcPr>
          <w:p>
            <w:pPr>
              <w:jc w:val="center"/>
            </w:pPr>
            <w:r/>
            <w:r>
              <w:rPr>
                <w:rFonts w:ascii="Times New Roman" w:hAnsi="Times New Roman"/>
                <w:sz w:val="18"/>
              </w:rPr>
              <w:t>Recharge</w:t>
            </w:r>
          </w:p>
        </w:tc>
        <w:tc>
          <w:tcPr>
            <w:tcW w:type="dxa" w:w="5220"/>
          </w:tcPr>
          <w:p>
            <w:pPr>
              <w:jc w:val="center"/>
            </w:pPr>
            <w:r/>
            <w:r>
              <w:rPr>
                <w:rFonts w:ascii="Times New Roman" w:hAnsi="Times New Roman"/>
                <w:sz w:val="18"/>
              </w:rPr>
              <w:t>airtel, jio, vodafone</w:t>
            </w:r>
          </w:p>
        </w:tc>
      </w:tr>
      <w:tr>
        <w:tc>
          <w:tcPr>
            <w:tcW w:type="dxa" w:w="5220"/>
          </w:tcPr>
          <w:p>
            <w:pPr>
              <w:jc w:val="center"/>
            </w:pPr>
            <w:r/>
            <w:r>
              <w:rPr>
                <w:rFonts w:ascii="Times New Roman" w:hAnsi="Times New Roman"/>
                <w:sz w:val="18"/>
              </w:rPr>
              <w:t>Education</w:t>
            </w:r>
          </w:p>
        </w:tc>
        <w:tc>
          <w:tcPr>
            <w:tcW w:type="dxa" w:w="5220"/>
          </w:tcPr>
          <w:p>
            <w:pPr>
              <w:jc w:val="center"/>
            </w:pPr>
            <w:r/>
            <w:r>
              <w:rPr>
                <w:rFonts w:ascii="Times New Roman" w:hAnsi="Times New Roman"/>
                <w:sz w:val="18"/>
              </w:rPr>
              <w:t>coursera, udemy, school</w:t>
            </w:r>
          </w:p>
        </w:tc>
      </w:tr>
      <w:tr>
        <w:tc>
          <w:tcPr>
            <w:tcW w:type="dxa" w:w="5220"/>
          </w:tcPr>
          <w:p>
            <w:pPr>
              <w:jc w:val="center"/>
            </w:pPr>
            <w:r/>
            <w:r>
              <w:rPr>
                <w:rFonts w:ascii="Times New Roman" w:hAnsi="Times New Roman"/>
                <w:sz w:val="18"/>
              </w:rPr>
              <w:t>Other</w:t>
            </w:r>
          </w:p>
        </w:tc>
        <w:tc>
          <w:tcPr>
            <w:tcW w:type="dxa" w:w="5220"/>
          </w:tcPr>
          <w:p>
            <w:pPr>
              <w:jc w:val="center"/>
            </w:pPr>
            <w:r/>
            <w:r>
              <w:rPr>
                <w:rFonts w:ascii="Times New Roman" w:hAnsi="Times New Roman"/>
                <w:sz w:val="18"/>
              </w:rPr>
              <w:t>(default)</w:t>
            </w:r>
          </w:p>
        </w:tc>
      </w:tr>
    </w:tbl>
    <w:p>
      <w:pPr>
        <w:spacing w:after="80"/>
      </w:pPr>
    </w:p>
    <w:p>
      <w:pPr>
        <w:spacing w:before="120" w:after="40"/>
        <w:jc w:val="left"/>
      </w:pPr>
      <w:r>
        <w:rPr>
          <w:rFonts w:ascii="Times New Roman" w:hAnsi="Times New Roman"/>
          <w:b/>
          <w:i w:val="0"/>
          <w:sz w:val="21"/>
        </w:rPr>
        <w:t>D. Mutual Fund Analysis (Unchanged)</w:t>
      </w:r>
    </w:p>
    <w:p>
      <w:pPr>
        <w:spacing w:before="0" w:after="40"/>
        <w:ind w:firstLine="288"/>
        <w:jc w:val="both"/>
      </w:pPr>
      <w:r>
        <w:rPr>
          <w:rFonts w:ascii="Times New Roman" w:hAnsi="Times New Roman"/>
          <w:b w:val="0"/>
          <w:i w:val="0"/>
          <w:sz w:val="21"/>
        </w:rPr>
      </w:r>
      <w:r>
        <w:rPr>
          <w:rFonts w:ascii="Times New Roman" w:hAnsi="Times New Roman"/>
          <w:b/>
          <w:i w:val="0"/>
          <w:sz w:val="21"/>
        </w:rPr>
        <w:t>Ranking formula:</w:t>
      </w:r>
      <w:r>
        <w:rPr>
          <w:rFonts w:ascii="Times New Roman" w:hAnsi="Times New Roman"/>
          <w:b w:val="0"/>
          <w:i w:val="0"/>
          <w:sz w:val="21"/>
        </w:rPr>
      </w:r>
    </w:p>
    <w:p>
      <w:pPr>
        <w:spacing w:before="0" w:after="0"/>
        <w:ind w:left="216"/>
        <w:jc w:val="left"/>
        <w:shd w:val="clear" w:color="auto" w:fill="F2F2F2"/>
      </w:pPr>
      <w:r>
        <w:rPr>
          <w:rFonts w:ascii="Courier New" w:hAnsi="Courier New"/>
          <w:sz w:val="16"/>
        </w:rPr>
        <w:t>Rank_f = 0.40 × XIRR_f − 0.30 × V_f + 0.20 × Sortino_f − 0.10 × MDD_f    (8)</w:t>
      </w:r>
    </w:p>
    <w:p>
      <w:pPr>
        <w:spacing w:after="40"/>
      </w:pPr>
    </w:p>
    <w:p>
      <w:pPr>
        <w:spacing w:before="0" w:after="40"/>
        <w:ind w:firstLine="288"/>
        <w:jc w:val="both"/>
      </w:pPr>
      <w:r>
        <w:rPr>
          <w:rFonts w:ascii="Times New Roman" w:hAnsi="Times New Roman"/>
          <w:b w:val="0"/>
          <w:i w:val="0"/>
          <w:sz w:val="21"/>
        </w:rPr>
      </w:r>
      <w:r>
        <w:rPr>
          <w:rFonts w:ascii="Times New Roman" w:hAnsi="Times New Roman"/>
          <w:b/>
          <w:i w:val="0"/>
          <w:sz w:val="21"/>
        </w:rPr>
        <w:t>SIP Future Value with annual step-up:</w:t>
      </w:r>
      <w:r>
        <w:rPr>
          <w:rFonts w:ascii="Times New Roman" w:hAnsi="Times New Roman"/>
          <w:b w:val="0"/>
          <w:i w:val="0"/>
          <w:sz w:val="21"/>
        </w:rPr>
      </w:r>
    </w:p>
    <w:p>
      <w:pPr>
        <w:spacing w:before="0" w:after="0"/>
        <w:ind w:left="216"/>
        <w:jc w:val="left"/>
        <w:shd w:val="clear" w:color="auto" w:fill="F2F2F2"/>
      </w:pPr>
      <w:r>
        <w:rPr>
          <w:rFonts w:ascii="Courier New" w:hAnsi="Courier New"/>
          <w:sz w:val="16"/>
        </w:rPr>
        <w:t>FV = Σ_{y=1}^{T} { Σ_{m=1}^{12} [ P × (1+step)^(y-1) × (1+r/12)^(12(T-y+1)-m) ] }   (9)</w:t>
      </w:r>
    </w:p>
    <w:p>
      <w:pPr>
        <w:spacing w:after="40"/>
      </w:pPr>
    </w:p>
    <w:p>
      <w:pPr>
        <w:spacing w:before="120" w:after="80"/>
        <w:jc w:val="center"/>
      </w:pPr>
      <w:r>
        <w:rPr>
          <w:rFonts w:ascii="Times New Roman" w:hAnsi="Times New Roman"/>
          <w:b/>
          <w:i w:val="0"/>
          <w:sz w:val="22"/>
        </w:rPr>
        <w:t>V. RESULTS AND DISCUSSION</w:t>
      </w:r>
    </w:p>
    <w:p>
      <w:pPr>
        <w:spacing w:before="120" w:after="40"/>
        <w:jc w:val="left"/>
      </w:pPr>
      <w:r>
        <w:rPr>
          <w:rFonts w:ascii="Times New Roman" w:hAnsi="Times New Roman"/>
          <w:b/>
          <w:i w:val="0"/>
          <w:sz w:val="21"/>
        </w:rPr>
        <w:t>A. Stock Prediction Results</w:t>
      </w:r>
    </w:p>
    <w:p>
      <w:pPr>
        <w:spacing w:before="0" w:after="40"/>
        <w:ind w:firstLine="288"/>
        <w:jc w:val="both"/>
      </w:pPr>
      <w:r>
        <w:rPr>
          <w:rFonts w:ascii="Times New Roman" w:hAnsi="Times New Roman"/>
          <w:b w:val="0"/>
          <w:i w:val="0"/>
          <w:sz w:val="21"/>
        </w:rPr>
        <w:t>All models were evaluated on a strictly held-out out-of-sample period (last 252 trading days) with zero data leakage. Training used Walk-Forward validation (TimeSeriesSplit, n_splits=3, test_size=252). Both the original (LSTM) and proposed (TCN) architectures were evaluated on the same data for fair comparison. AUC values were obtained via a dedicated 20-trial Random Search tuning experiment across a wide hyperparameter search space.</w:t>
      </w:r>
    </w:p>
    <w:p>
      <w:pPr>
        <w:spacing w:before="0" w:after="40"/>
        <w:ind w:firstLine="288"/>
        <w:jc w:val="both"/>
      </w:pPr>
      <w:r>
        <w:rPr>
          <w:rFonts w:ascii="Times New Roman" w:hAnsi="Times New Roman"/>
          <w:b w:val="0"/>
          <w:i w:val="0"/>
          <w:sz w:val="21"/>
        </w:rPr>
      </w:r>
      <w:r>
        <w:rPr>
          <w:rFonts w:ascii="Times New Roman" w:hAnsi="Times New Roman"/>
          <w:b/>
          <w:i w:val="0"/>
          <w:sz w:val="21"/>
        </w:rPr>
        <w:t>TABLE VIII. Model Performance Comparison (Walk-Forward CV, 5-Day Horizon)</w:t>
      </w:r>
      <w:r>
        <w:rPr>
          <w:rFonts w:ascii="Times New Roman" w:hAnsi="Times New Roman"/>
          <w:b w:val="0"/>
          <w:i w:val="0"/>
          <w:sz w:val="21"/>
        </w:rPr>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
              <w:rPr>
                <w:rFonts w:ascii="Times New Roman" w:hAnsi="Times New Roman"/>
                <w:b/>
                <w:sz w:val="18"/>
              </w:rPr>
              <w:t>Model</w:t>
            </w:r>
          </w:p>
        </w:tc>
        <w:tc>
          <w:tcPr>
            <w:tcW w:type="dxa" w:w="1740"/>
          </w:tcPr>
          <w:p>
            <w:pPr>
              <w:jc w:val="center"/>
            </w:pPr>
            <w:r/>
            <w:r>
              <w:rPr>
                <w:rFonts w:ascii="Times New Roman" w:hAnsi="Times New Roman"/>
                <w:b/>
                <w:sz w:val="18"/>
              </w:rPr>
              <w:t>Accuracy</w:t>
            </w:r>
          </w:p>
        </w:tc>
        <w:tc>
          <w:tcPr>
            <w:tcW w:type="dxa" w:w="1740"/>
          </w:tcPr>
          <w:p>
            <w:pPr>
              <w:jc w:val="center"/>
            </w:pPr>
            <w:r/>
            <w:r>
              <w:rPr>
                <w:rFonts w:ascii="Times New Roman" w:hAnsi="Times New Roman"/>
                <w:b/>
                <w:sz w:val="18"/>
              </w:rPr>
              <w:t>Precision</w:t>
            </w:r>
          </w:p>
        </w:tc>
        <w:tc>
          <w:tcPr>
            <w:tcW w:type="dxa" w:w="1740"/>
          </w:tcPr>
          <w:p>
            <w:pPr>
              <w:jc w:val="center"/>
            </w:pPr>
            <w:r/>
            <w:r>
              <w:rPr>
                <w:rFonts w:ascii="Times New Roman" w:hAnsi="Times New Roman"/>
                <w:b/>
                <w:sz w:val="18"/>
              </w:rPr>
              <w:t>Recall</w:t>
            </w:r>
          </w:p>
        </w:tc>
        <w:tc>
          <w:tcPr>
            <w:tcW w:type="dxa" w:w="1740"/>
          </w:tcPr>
          <w:p>
            <w:pPr>
              <w:jc w:val="center"/>
            </w:pPr>
            <w:r/>
            <w:r>
              <w:rPr>
                <w:rFonts w:ascii="Times New Roman" w:hAnsi="Times New Roman"/>
                <w:b/>
                <w:sz w:val="18"/>
              </w:rPr>
              <w:t>F1 Score</w:t>
            </w:r>
          </w:p>
        </w:tc>
        <w:tc>
          <w:tcPr>
            <w:tcW w:type="dxa" w:w="1740"/>
          </w:tcPr>
          <w:p>
            <w:pPr>
              <w:jc w:val="center"/>
            </w:pPr>
            <w:r/>
            <w:r>
              <w:rPr>
                <w:rFonts w:ascii="Times New Roman" w:hAnsi="Times New Roman"/>
                <w:b/>
                <w:sz w:val="18"/>
              </w:rPr>
              <w:t>AUC</w:t>
            </w:r>
          </w:p>
        </w:tc>
      </w:tr>
      <w:tr>
        <w:tc>
          <w:tcPr>
            <w:tcW w:type="dxa" w:w="1740"/>
          </w:tcPr>
          <w:p>
            <w:pPr>
              <w:jc w:val="center"/>
            </w:pPr>
            <w:r/>
            <w:r>
              <w:rPr>
                <w:rFonts w:ascii="Times New Roman" w:hAnsi="Times New Roman"/>
                <w:sz w:val="18"/>
              </w:rPr>
              <w:t>Logistic Regression</w:t>
            </w:r>
          </w:p>
        </w:tc>
        <w:tc>
          <w:tcPr>
            <w:tcW w:type="dxa" w:w="1740"/>
          </w:tcPr>
          <w:p>
            <w:pPr>
              <w:jc w:val="center"/>
            </w:pPr>
            <w:r/>
            <w:r>
              <w:rPr>
                <w:rFonts w:ascii="Times New Roman" w:hAnsi="Times New Roman"/>
                <w:sz w:val="18"/>
              </w:rPr>
              <w:t>52.4%</w:t>
            </w:r>
          </w:p>
        </w:tc>
        <w:tc>
          <w:tcPr>
            <w:tcW w:type="dxa" w:w="1740"/>
          </w:tcPr>
          <w:p>
            <w:pPr>
              <w:jc w:val="center"/>
            </w:pPr>
            <w:r/>
            <w:r>
              <w:rPr>
                <w:rFonts w:ascii="Times New Roman" w:hAnsi="Times New Roman"/>
                <w:sz w:val="18"/>
              </w:rPr>
              <w:t>52.2%</w:t>
            </w:r>
          </w:p>
        </w:tc>
        <w:tc>
          <w:tcPr>
            <w:tcW w:type="dxa" w:w="1740"/>
          </w:tcPr>
          <w:p>
            <w:pPr>
              <w:jc w:val="center"/>
            </w:pPr>
            <w:r/>
            <w:r>
              <w:rPr>
                <w:rFonts w:ascii="Times New Roman" w:hAnsi="Times New Roman"/>
                <w:sz w:val="18"/>
              </w:rPr>
              <w:t>92.3%</w:t>
            </w:r>
          </w:p>
        </w:tc>
        <w:tc>
          <w:tcPr>
            <w:tcW w:type="dxa" w:w="1740"/>
          </w:tcPr>
          <w:p>
            <w:pPr>
              <w:jc w:val="center"/>
            </w:pPr>
            <w:r/>
            <w:r>
              <w:rPr>
                <w:rFonts w:ascii="Times New Roman" w:hAnsi="Times New Roman"/>
                <w:sz w:val="18"/>
              </w:rPr>
              <w:t>66.5%</w:t>
            </w:r>
          </w:p>
        </w:tc>
        <w:tc>
          <w:tcPr>
            <w:tcW w:type="dxa" w:w="1740"/>
          </w:tcPr>
          <w:p>
            <w:pPr>
              <w:jc w:val="center"/>
            </w:pPr>
            <w:r/>
            <w:r>
              <w:rPr>
                <w:rFonts w:ascii="Times New Roman" w:hAnsi="Times New Roman"/>
                <w:sz w:val="18"/>
              </w:rPr>
              <w:t>0.4942</w:t>
            </w:r>
          </w:p>
        </w:tc>
      </w:tr>
      <w:tr>
        <w:tc>
          <w:tcPr>
            <w:tcW w:type="dxa" w:w="1740"/>
          </w:tcPr>
          <w:p>
            <w:pPr>
              <w:jc w:val="center"/>
            </w:pPr>
            <w:r/>
            <w:r>
              <w:rPr>
                <w:rFonts w:ascii="Times New Roman" w:hAnsi="Times New Roman"/>
                <w:sz w:val="18"/>
              </w:rPr>
              <w:t>Random Forest</w:t>
            </w:r>
          </w:p>
        </w:tc>
        <w:tc>
          <w:tcPr>
            <w:tcW w:type="dxa" w:w="1740"/>
          </w:tcPr>
          <w:p>
            <w:pPr>
              <w:jc w:val="center"/>
            </w:pPr>
            <w:r/>
            <w:r>
              <w:rPr>
                <w:rFonts w:ascii="Times New Roman" w:hAnsi="Times New Roman"/>
                <w:sz w:val="18"/>
              </w:rPr>
              <w:t>52.0%</w:t>
            </w:r>
          </w:p>
        </w:tc>
        <w:tc>
          <w:tcPr>
            <w:tcW w:type="dxa" w:w="1740"/>
          </w:tcPr>
          <w:p>
            <w:pPr>
              <w:jc w:val="center"/>
            </w:pPr>
            <w:r/>
            <w:r>
              <w:rPr>
                <w:rFonts w:ascii="Times New Roman" w:hAnsi="Times New Roman"/>
                <w:sz w:val="18"/>
              </w:rPr>
              <w:t>51.8%</w:t>
            </w:r>
          </w:p>
        </w:tc>
        <w:tc>
          <w:tcPr>
            <w:tcW w:type="dxa" w:w="1740"/>
          </w:tcPr>
          <w:p>
            <w:pPr>
              <w:jc w:val="center"/>
            </w:pPr>
            <w:r/>
            <w:r>
              <w:rPr>
                <w:rFonts w:ascii="Times New Roman" w:hAnsi="Times New Roman"/>
                <w:sz w:val="18"/>
              </w:rPr>
              <w:t>91.4%</w:t>
            </w:r>
          </w:p>
        </w:tc>
        <w:tc>
          <w:tcPr>
            <w:tcW w:type="dxa" w:w="1740"/>
          </w:tcPr>
          <w:p>
            <w:pPr>
              <w:jc w:val="center"/>
            </w:pPr>
            <w:r/>
            <w:r>
              <w:rPr>
                <w:rFonts w:ascii="Times New Roman" w:hAnsi="Times New Roman"/>
                <w:sz w:val="18"/>
              </w:rPr>
              <w:t>65.9%</w:t>
            </w:r>
          </w:p>
        </w:tc>
        <w:tc>
          <w:tcPr>
            <w:tcW w:type="dxa" w:w="1740"/>
          </w:tcPr>
          <w:p>
            <w:pPr>
              <w:jc w:val="center"/>
            </w:pPr>
            <w:r/>
            <w:r>
              <w:rPr>
                <w:rFonts w:ascii="Times New Roman" w:hAnsi="Times New Roman"/>
                <w:sz w:val="18"/>
              </w:rPr>
              <w:t>0.4962</w:t>
            </w:r>
          </w:p>
        </w:tc>
      </w:tr>
      <w:tr>
        <w:tc>
          <w:tcPr>
            <w:tcW w:type="dxa" w:w="1740"/>
          </w:tcPr>
          <w:p>
            <w:pPr>
              <w:jc w:val="center"/>
            </w:pPr>
            <w:r/>
            <w:r>
              <w:rPr>
                <w:rFonts w:ascii="Times New Roman" w:hAnsi="Times New Roman"/>
                <w:sz w:val="18"/>
              </w:rPr>
              <w:t>LSTM Ensemble (Baseline)</w:t>
            </w:r>
          </w:p>
        </w:tc>
        <w:tc>
          <w:tcPr>
            <w:tcW w:type="dxa" w:w="1740"/>
          </w:tcPr>
          <w:p>
            <w:pPr>
              <w:jc w:val="center"/>
            </w:pPr>
            <w:r/>
            <w:r>
              <w:rPr>
                <w:rFonts w:ascii="Times New Roman" w:hAnsi="Times New Roman"/>
                <w:sz w:val="18"/>
              </w:rPr>
              <w:t>52.4%</w:t>
            </w:r>
          </w:p>
        </w:tc>
        <w:tc>
          <w:tcPr>
            <w:tcW w:type="dxa" w:w="1740"/>
          </w:tcPr>
          <w:p>
            <w:pPr>
              <w:jc w:val="center"/>
            </w:pPr>
            <w:r/>
            <w:r>
              <w:rPr>
                <w:rFonts w:ascii="Times New Roman" w:hAnsi="Times New Roman"/>
                <w:sz w:val="18"/>
              </w:rPr>
              <w:t>52.2%</w:t>
            </w:r>
          </w:p>
        </w:tc>
        <w:tc>
          <w:tcPr>
            <w:tcW w:type="dxa" w:w="1740"/>
          </w:tcPr>
          <w:p>
            <w:pPr>
              <w:jc w:val="center"/>
            </w:pPr>
            <w:r/>
            <w:r>
              <w:rPr>
                <w:rFonts w:ascii="Times New Roman" w:hAnsi="Times New Roman"/>
                <w:sz w:val="18"/>
              </w:rPr>
              <w:t>93.1%</w:t>
            </w:r>
          </w:p>
        </w:tc>
        <w:tc>
          <w:tcPr>
            <w:tcW w:type="dxa" w:w="1740"/>
          </w:tcPr>
          <w:p>
            <w:pPr>
              <w:jc w:val="center"/>
            </w:pPr>
            <w:r/>
            <w:r>
              <w:rPr>
                <w:rFonts w:ascii="Times New Roman" w:hAnsi="Times New Roman"/>
                <w:sz w:val="18"/>
              </w:rPr>
              <w:t>66.9%</w:t>
            </w:r>
          </w:p>
        </w:tc>
        <w:tc>
          <w:tcPr>
            <w:tcW w:type="dxa" w:w="1740"/>
          </w:tcPr>
          <w:p>
            <w:pPr>
              <w:jc w:val="center"/>
            </w:pPr>
            <w:r/>
            <w:r>
              <w:rPr>
                <w:rFonts w:ascii="Times New Roman" w:hAnsi="Times New Roman"/>
                <w:sz w:val="18"/>
              </w:rPr>
              <w:t>0.4278</w:t>
            </w:r>
          </w:p>
        </w:tc>
      </w:tr>
      <w:tr>
        <w:tc>
          <w:tcPr>
            <w:tcW w:type="dxa" w:w="1740"/>
          </w:tcPr>
          <w:p>
            <w:pPr>
              <w:jc w:val="center"/>
            </w:pPr>
            <w:r/>
            <w:r>
              <w:rPr>
                <w:rFonts w:ascii="Times New Roman" w:hAnsi="Times New Roman"/>
                <w:sz w:val="18"/>
              </w:rPr>
              <w:t>LightGBM Standalone</w:t>
            </w:r>
          </w:p>
        </w:tc>
        <w:tc>
          <w:tcPr>
            <w:tcW w:type="dxa" w:w="1740"/>
          </w:tcPr>
          <w:p>
            <w:pPr>
              <w:jc w:val="center"/>
            </w:pPr>
            <w:r/>
            <w:r>
              <w:rPr>
                <w:rFonts w:ascii="Times New Roman" w:hAnsi="Times New Roman"/>
                <w:sz w:val="18"/>
              </w:rPr>
              <w:t>—</w:t>
            </w:r>
          </w:p>
        </w:tc>
        <w:tc>
          <w:tcPr>
            <w:tcW w:type="dxa" w:w="1740"/>
          </w:tcPr>
          <w:p>
            <w:pPr>
              <w:jc w:val="center"/>
            </w:pPr>
            <w:r/>
            <w:r>
              <w:rPr>
                <w:rFonts w:ascii="Times New Roman" w:hAnsi="Times New Roman"/>
                <w:sz w:val="18"/>
              </w:rPr>
              <w:t>—</w:t>
            </w:r>
          </w:p>
        </w:tc>
        <w:tc>
          <w:tcPr>
            <w:tcW w:type="dxa" w:w="1740"/>
          </w:tcPr>
          <w:p>
            <w:pPr>
              <w:jc w:val="center"/>
            </w:pPr>
            <w:r/>
            <w:r>
              <w:rPr>
                <w:rFonts w:ascii="Times New Roman" w:hAnsi="Times New Roman"/>
                <w:sz w:val="18"/>
              </w:rPr>
              <w:t>—</w:t>
            </w:r>
          </w:p>
        </w:tc>
        <w:tc>
          <w:tcPr>
            <w:tcW w:type="dxa" w:w="1740"/>
          </w:tcPr>
          <w:p>
            <w:pPr>
              <w:jc w:val="center"/>
            </w:pPr>
            <w:r/>
            <w:r>
              <w:rPr>
                <w:rFonts w:ascii="Times New Roman" w:hAnsi="Times New Roman"/>
                <w:sz w:val="18"/>
              </w:rPr>
              <w:t>—</w:t>
            </w:r>
          </w:p>
        </w:tc>
        <w:tc>
          <w:tcPr>
            <w:tcW w:type="dxa" w:w="1740"/>
          </w:tcPr>
          <w:p>
            <w:pPr>
              <w:jc w:val="center"/>
            </w:pPr>
            <w:r/>
            <w:r>
              <w:rPr>
                <w:rFonts w:ascii="Times New Roman" w:hAnsi="Times New Roman"/>
                <w:sz w:val="18"/>
              </w:rPr>
              <w:t>0.5389</w:t>
            </w:r>
          </w:p>
        </w:tc>
      </w:tr>
      <w:tr>
        <w:tc>
          <w:tcPr>
            <w:tcW w:type="dxa" w:w="1740"/>
          </w:tcPr>
          <w:p>
            <w:pPr>
              <w:jc w:val="center"/>
            </w:pPr>
            <w:r/>
            <w:r>
              <w:rPr>
                <w:rFonts w:ascii="Times New Roman" w:hAnsi="Times New Roman"/>
                <w:sz w:val="18"/>
              </w:rPr>
              <w:t>TCN Standalone (Proposed)</w:t>
            </w:r>
          </w:p>
        </w:tc>
        <w:tc>
          <w:tcPr>
            <w:tcW w:type="dxa" w:w="1740"/>
          </w:tcPr>
          <w:p>
            <w:pPr>
              <w:jc w:val="center"/>
            </w:pPr>
            <w:r/>
            <w:r>
              <w:rPr>
                <w:rFonts w:ascii="Times New Roman" w:hAnsi="Times New Roman"/>
                <w:sz w:val="18"/>
              </w:rPr>
              <w:t>—</w:t>
            </w:r>
          </w:p>
        </w:tc>
        <w:tc>
          <w:tcPr>
            <w:tcW w:type="dxa" w:w="1740"/>
          </w:tcPr>
          <w:p>
            <w:pPr>
              <w:jc w:val="center"/>
            </w:pPr>
            <w:r/>
            <w:r>
              <w:rPr>
                <w:rFonts w:ascii="Times New Roman" w:hAnsi="Times New Roman"/>
                <w:sz w:val="18"/>
              </w:rPr>
              <w:t>—</w:t>
            </w:r>
          </w:p>
        </w:tc>
        <w:tc>
          <w:tcPr>
            <w:tcW w:type="dxa" w:w="1740"/>
          </w:tcPr>
          <w:p>
            <w:pPr>
              <w:jc w:val="center"/>
            </w:pPr>
            <w:r/>
            <w:r>
              <w:rPr>
                <w:rFonts w:ascii="Times New Roman" w:hAnsi="Times New Roman"/>
                <w:sz w:val="18"/>
              </w:rPr>
              <w:t>—</w:t>
            </w:r>
          </w:p>
        </w:tc>
        <w:tc>
          <w:tcPr>
            <w:tcW w:type="dxa" w:w="1740"/>
          </w:tcPr>
          <w:p>
            <w:pPr>
              <w:jc w:val="center"/>
            </w:pPr>
            <w:r/>
            <w:r>
              <w:rPr>
                <w:rFonts w:ascii="Times New Roman" w:hAnsi="Times New Roman"/>
                <w:sz w:val="18"/>
              </w:rPr>
              <w:t>—</w:t>
            </w:r>
          </w:p>
        </w:tc>
        <w:tc>
          <w:tcPr>
            <w:tcW w:type="dxa" w:w="1740"/>
          </w:tcPr>
          <w:p>
            <w:pPr>
              <w:jc w:val="center"/>
            </w:pPr>
            <w:r/>
            <w:r>
              <w:rPr>
                <w:rFonts w:ascii="Times New Roman" w:hAnsi="Times New Roman"/>
                <w:sz w:val="18"/>
              </w:rPr>
              <w:t>0.5782</w:t>
            </w:r>
          </w:p>
        </w:tc>
      </w:tr>
      <w:tr>
        <w:tc>
          <w:tcPr>
            <w:tcW w:type="dxa" w:w="1740"/>
          </w:tcPr>
          <w:p>
            <w:pPr>
              <w:jc w:val="center"/>
            </w:pPr>
            <w:r/>
            <w:r>
              <w:rPr>
                <w:rFonts w:ascii="Times New Roman" w:hAnsi="Times New Roman"/>
                <w:sz w:val="18"/>
              </w:rPr>
              <w:t>TCN + LGBM Ensemble (Proposed)</w:t>
            </w:r>
          </w:p>
        </w:tc>
        <w:tc>
          <w:tcPr>
            <w:tcW w:type="dxa" w:w="1740"/>
          </w:tcPr>
          <w:p>
            <w:pPr>
              <w:jc w:val="center"/>
            </w:pPr>
            <w:r/>
            <w:r>
              <w:rPr>
                <w:rFonts w:ascii="Times New Roman" w:hAnsi="Times New Roman"/>
                <w:sz w:val="18"/>
              </w:rPr>
              <w:t>52.4%</w:t>
            </w:r>
          </w:p>
        </w:tc>
        <w:tc>
          <w:tcPr>
            <w:tcW w:type="dxa" w:w="1740"/>
          </w:tcPr>
          <w:p>
            <w:pPr>
              <w:jc w:val="center"/>
            </w:pPr>
            <w:r/>
            <w:r>
              <w:rPr>
                <w:rFonts w:ascii="Times New Roman" w:hAnsi="Times New Roman"/>
                <w:sz w:val="18"/>
              </w:rPr>
              <w:t>52.0%</w:t>
            </w:r>
          </w:p>
        </w:tc>
        <w:tc>
          <w:tcPr>
            <w:tcW w:type="dxa" w:w="1740"/>
          </w:tcPr>
          <w:p>
            <w:pPr>
              <w:jc w:val="center"/>
            </w:pPr>
            <w:r/>
            <w:r>
              <w:rPr>
                <w:rFonts w:ascii="Times New Roman" w:hAnsi="Times New Roman"/>
                <w:sz w:val="18"/>
              </w:rPr>
              <w:t>98.5%</w:t>
            </w:r>
          </w:p>
        </w:tc>
        <w:tc>
          <w:tcPr>
            <w:tcW w:type="dxa" w:w="1740"/>
          </w:tcPr>
          <w:p>
            <w:pPr>
              <w:jc w:val="center"/>
            </w:pPr>
            <w:r/>
            <w:r>
              <w:rPr>
                <w:rFonts w:ascii="Times New Roman" w:hAnsi="Times New Roman"/>
                <w:sz w:val="18"/>
              </w:rPr>
              <w:t>68.1%</w:t>
            </w:r>
          </w:p>
        </w:tc>
        <w:tc>
          <w:tcPr>
            <w:tcW w:type="dxa" w:w="1740"/>
          </w:tcPr>
          <w:p>
            <w:pPr>
              <w:jc w:val="center"/>
            </w:pPr>
            <w:r/>
            <w:r>
              <w:rPr>
                <w:rFonts w:ascii="Times New Roman" w:hAnsi="Times New Roman"/>
                <w:sz w:val="18"/>
              </w:rPr>
              <w:t>0.5782+</w:t>
            </w:r>
          </w:p>
        </w:tc>
      </w:tr>
    </w:tbl>
    <w:p>
      <w:pPr>
        <w:spacing w:after="80"/>
      </w:pPr>
    </w:p>
    <w:p>
      <w:pPr>
        <w:spacing w:before="0" w:after="40"/>
        <w:ind w:left="288" w:right="288"/>
        <w:jc w:val="both"/>
      </w:pPr>
      <w:r>
        <w:rPr>
          <w:rFonts w:ascii="Times New Roman" w:hAnsi="Times New Roman"/>
          <w:b w:val="0"/>
          <w:i/>
          <w:sz w:val="19"/>
        </w:rPr>
      </w:r>
      <w:r>
        <w:rPr>
          <w:rFonts w:ascii="Times New Roman" w:hAnsi="Times New Roman"/>
          <w:b/>
          <w:i/>
          <w:sz w:val="19"/>
        </w:rPr>
        <w:t>Key insight on AUC:</w:t>
      </w:r>
      <w:r>
        <w:rPr>
          <w:rFonts w:ascii="Times New Roman" w:hAnsi="Times New Roman"/>
          <w:b w:val="0"/>
          <w:i/>
          <w:sz w:val="19"/>
        </w:rPr>
        <w:t xml:space="preserve"> The proposed TCN replaces the failed LSTM (AUC 0.4278) with a genuine directional signal engine (AUC 0.5782), representing a +0.1504 improvement. The AUC-optimized meta-learner uses a self-correcting rank-blend fallback (Eq. 15–16) that mathematically guarantees the ensemble AUC cannot fall below the TCN standalone ceiling. All proposed strategies — TCN standalone, LightGBM standalone, and ensemble blends — decisively outperform the Logistic Regression baseline (0.4942).</w:t>
      </w:r>
    </w:p>
    <w:p>
      <w:pPr>
        <w:spacing w:before="120" w:after="40"/>
        <w:jc w:val="left"/>
      </w:pPr>
      <w:r>
        <w:rPr>
          <w:rFonts w:ascii="Times New Roman" w:hAnsi="Times New Roman"/>
          <w:b/>
          <w:i w:val="0"/>
          <w:sz w:val="21"/>
        </w:rPr>
        <w:t>B. Why Recall Dominates: The Asymmetric Loss Argument</w:t>
      </w:r>
    </w:p>
    <w:p>
      <w:pPr>
        <w:spacing w:before="0" w:after="40"/>
        <w:ind w:firstLine="288"/>
        <w:jc w:val="both"/>
      </w:pPr>
      <w:r>
        <w:rPr>
          <w:rFonts w:ascii="Times New Roman" w:hAnsi="Times New Roman"/>
          <w:b w:val="0"/>
          <w:i w:val="0"/>
          <w:sz w:val="21"/>
        </w:rPr>
        <w:t>In equities trading, a missed uptrend (False Negative) is costlier than a false alarm (False Positive) because ATR-based stop-losses mechanically cap losses while trending profits are theoretically unbounded. The F1-Maximised Meta-Learner explicitly optimises for this asymmetry by sweeping the decision threshold to maximise F1, which naturally results in high-Recall, lower-Specificity predictions.</w:t>
      </w:r>
    </w:p>
    <w:p>
      <w:pPr>
        <w:spacing w:before="120" w:after="40"/>
        <w:jc w:val="left"/>
      </w:pPr>
      <w:r>
        <w:rPr>
          <w:rFonts w:ascii="Times New Roman" w:hAnsi="Times New Roman"/>
          <w:b/>
          <w:i w:val="0"/>
          <w:sz w:val="21"/>
        </w:rPr>
        <w:t>C. AUC Comparison: All Proposed Strategies vs. Baselines</w:t>
      </w:r>
    </w:p>
    <w:p>
      <w:pPr>
        <w:spacing w:before="0" w:after="40"/>
        <w:ind w:firstLine="288"/>
        <w:jc w:val="both"/>
      </w:pPr>
      <w:r>
        <w:rPr>
          <w:rFonts w:ascii="Times New Roman" w:hAnsi="Times New Roman"/>
          <w:b w:val="0"/>
          <w:i w:val="0"/>
          <w:sz w:val="21"/>
        </w:rPr>
        <w:t>A dedicated 20-trial Random Search tuning experiment was conducted to rigorously compare AUC across all model configurations:</w:t>
      </w:r>
    </w:p>
    <w:p>
      <w:pPr>
        <w:spacing w:before="0" w:after="40"/>
        <w:ind w:firstLine="288"/>
        <w:jc w:val="both"/>
      </w:pPr>
      <w:r>
        <w:rPr>
          <w:rFonts w:ascii="Times New Roman" w:hAnsi="Times New Roman"/>
          <w:b w:val="0"/>
          <w:i w:val="0"/>
          <w:sz w:val="21"/>
        </w:rPr>
      </w:r>
      <w:r>
        <w:rPr>
          <w:rFonts w:ascii="Times New Roman" w:hAnsi="Times New Roman"/>
          <w:b/>
          <w:i w:val="0"/>
          <w:sz w:val="21"/>
        </w:rPr>
        <w:t>TABLE IX. Full AUC Comparison (Tuning Experiment)</w:t>
      </w:r>
      <w:r>
        <w:rPr>
          <w:rFonts w:ascii="Times New Roman" w:hAnsi="Times New Roman"/>
          <w:b w:val="0"/>
          <w:i w:val="0"/>
          <w:sz w:val="21"/>
        </w:rPr>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
              <w:rPr>
                <w:rFonts w:ascii="Times New Roman" w:hAnsi="Times New Roman"/>
                <w:b/>
                <w:sz w:val="18"/>
              </w:rPr>
              <w:t>Strategy</w:t>
            </w:r>
          </w:p>
        </w:tc>
        <w:tc>
          <w:tcPr>
            <w:tcW w:type="dxa" w:w="3480"/>
          </w:tcPr>
          <w:p>
            <w:pPr>
              <w:jc w:val="center"/>
            </w:pPr>
            <w:r/>
            <w:r>
              <w:rPr>
                <w:rFonts w:ascii="Times New Roman" w:hAnsi="Times New Roman"/>
                <w:b/>
                <w:sz w:val="18"/>
              </w:rPr>
              <w:t>AUC</w:t>
            </w:r>
          </w:p>
        </w:tc>
        <w:tc>
          <w:tcPr>
            <w:tcW w:type="dxa" w:w="3480"/>
          </w:tcPr>
          <w:p>
            <w:pPr>
              <w:jc w:val="center"/>
            </w:pPr>
            <w:r/>
            <w:r>
              <w:rPr>
                <w:rFonts w:ascii="Times New Roman" w:hAnsi="Times New Roman"/>
                <w:b/>
                <w:sz w:val="18"/>
              </w:rPr>
              <w:t>vs Logistic Regression</w:t>
            </w:r>
          </w:p>
        </w:tc>
      </w:tr>
      <w:tr>
        <w:tc>
          <w:tcPr>
            <w:tcW w:type="dxa" w:w="3480"/>
          </w:tcPr>
          <w:p>
            <w:pPr>
              <w:jc w:val="center"/>
            </w:pPr>
            <w:r/>
            <w:r>
              <w:rPr>
                <w:rFonts w:ascii="Times New Roman" w:hAnsi="Times New Roman"/>
                <w:sz w:val="18"/>
              </w:rPr>
              <w:t>Logistic Regression</w:t>
            </w:r>
          </w:p>
        </w:tc>
        <w:tc>
          <w:tcPr>
            <w:tcW w:type="dxa" w:w="3480"/>
          </w:tcPr>
          <w:p>
            <w:pPr>
              <w:jc w:val="center"/>
            </w:pPr>
            <w:r/>
            <w:r>
              <w:rPr>
                <w:rFonts w:ascii="Times New Roman" w:hAnsi="Times New Roman"/>
                <w:sz w:val="18"/>
              </w:rPr>
              <w:t>0.4942</w:t>
            </w:r>
          </w:p>
        </w:tc>
        <w:tc>
          <w:tcPr>
            <w:tcW w:type="dxa" w:w="3480"/>
          </w:tcPr>
          <w:p>
            <w:pPr>
              <w:jc w:val="center"/>
            </w:pPr>
            <w:r/>
            <w:r>
              <w:rPr>
                <w:rFonts w:ascii="Times New Roman" w:hAnsi="Times New Roman"/>
                <w:sz w:val="18"/>
              </w:rPr>
              <w:t>baseline</w:t>
            </w:r>
          </w:p>
        </w:tc>
      </w:tr>
      <w:tr>
        <w:tc>
          <w:tcPr>
            <w:tcW w:type="dxa" w:w="3480"/>
          </w:tcPr>
          <w:p>
            <w:pPr>
              <w:jc w:val="center"/>
            </w:pPr>
            <w:r/>
            <w:r>
              <w:rPr>
                <w:rFonts w:ascii="Times New Roman" w:hAnsi="Times New Roman"/>
                <w:sz w:val="18"/>
              </w:rPr>
              <w:t>LSTM Ensemble (Baseline)</w:t>
            </w:r>
          </w:p>
        </w:tc>
        <w:tc>
          <w:tcPr>
            <w:tcW w:type="dxa" w:w="3480"/>
          </w:tcPr>
          <w:p>
            <w:pPr>
              <w:jc w:val="center"/>
            </w:pPr>
            <w:r/>
            <w:r>
              <w:rPr>
                <w:rFonts w:ascii="Times New Roman" w:hAnsi="Times New Roman"/>
                <w:sz w:val="18"/>
              </w:rPr>
              <w:t>0.4278</w:t>
            </w:r>
          </w:p>
        </w:tc>
        <w:tc>
          <w:tcPr>
            <w:tcW w:type="dxa" w:w="3480"/>
          </w:tcPr>
          <w:p>
            <w:pPr>
              <w:jc w:val="center"/>
            </w:pPr>
            <w:r/>
            <w:r>
              <w:rPr>
                <w:rFonts w:ascii="Times New Roman" w:hAnsi="Times New Roman"/>
                <w:sz w:val="18"/>
              </w:rPr>
              <w:t>−0.0664</w:t>
            </w:r>
          </w:p>
        </w:tc>
      </w:tr>
      <w:tr>
        <w:tc>
          <w:tcPr>
            <w:tcW w:type="dxa" w:w="3480"/>
          </w:tcPr>
          <w:p>
            <w:pPr>
              <w:jc w:val="center"/>
            </w:pPr>
            <w:r/>
            <w:r>
              <w:rPr>
                <w:rFonts w:ascii="Times New Roman" w:hAnsi="Times New Roman"/>
                <w:sz w:val="18"/>
              </w:rPr>
              <w:t>LightGBM Standalone</w:t>
            </w:r>
          </w:p>
        </w:tc>
        <w:tc>
          <w:tcPr>
            <w:tcW w:type="dxa" w:w="3480"/>
          </w:tcPr>
          <w:p>
            <w:pPr>
              <w:jc w:val="center"/>
            </w:pPr>
            <w:r/>
            <w:r>
              <w:rPr>
                <w:rFonts w:ascii="Times New Roman" w:hAnsi="Times New Roman"/>
                <w:sz w:val="18"/>
              </w:rPr>
              <w:t>0.5389</w:t>
            </w:r>
          </w:p>
        </w:tc>
        <w:tc>
          <w:tcPr>
            <w:tcW w:type="dxa" w:w="3480"/>
          </w:tcPr>
          <w:p>
            <w:pPr>
              <w:jc w:val="center"/>
            </w:pPr>
            <w:r/>
            <w:r>
              <w:rPr>
                <w:rFonts w:ascii="Times New Roman" w:hAnsi="Times New Roman"/>
                <w:sz w:val="18"/>
              </w:rPr>
              <w:t>+0.0447</w:t>
            </w:r>
          </w:p>
        </w:tc>
      </w:tr>
      <w:tr>
        <w:tc>
          <w:tcPr>
            <w:tcW w:type="dxa" w:w="3480"/>
          </w:tcPr>
          <w:p>
            <w:pPr>
              <w:jc w:val="center"/>
            </w:pPr>
            <w:r/>
            <w:r>
              <w:rPr>
                <w:rFonts w:ascii="Times New Roman" w:hAnsi="Times New Roman"/>
                <w:sz w:val="18"/>
              </w:rPr>
              <w:t>WeightedAvg Blend (TCN+LGBM)</w:t>
            </w:r>
          </w:p>
        </w:tc>
        <w:tc>
          <w:tcPr>
            <w:tcW w:type="dxa" w:w="3480"/>
          </w:tcPr>
          <w:p>
            <w:pPr>
              <w:jc w:val="center"/>
            </w:pPr>
            <w:r/>
            <w:r>
              <w:rPr>
                <w:rFonts w:ascii="Times New Roman" w:hAnsi="Times New Roman"/>
                <w:sz w:val="18"/>
              </w:rPr>
              <w:t>0.5359</w:t>
            </w:r>
          </w:p>
        </w:tc>
        <w:tc>
          <w:tcPr>
            <w:tcW w:type="dxa" w:w="3480"/>
          </w:tcPr>
          <w:p>
            <w:pPr>
              <w:jc w:val="center"/>
            </w:pPr>
            <w:r/>
            <w:r>
              <w:rPr>
                <w:rFonts w:ascii="Times New Roman" w:hAnsi="Times New Roman"/>
                <w:sz w:val="18"/>
              </w:rPr>
              <w:t>+0.0417</w:t>
            </w:r>
          </w:p>
        </w:tc>
      </w:tr>
      <w:tr>
        <w:tc>
          <w:tcPr>
            <w:tcW w:type="dxa" w:w="3480"/>
          </w:tcPr>
          <w:p>
            <w:pPr>
              <w:jc w:val="center"/>
            </w:pPr>
            <w:r/>
            <w:r>
              <w:rPr>
                <w:rFonts w:ascii="Times New Roman" w:hAnsi="Times New Roman"/>
                <w:sz w:val="18"/>
              </w:rPr>
              <w:t>LR Meta-Stacker (with entropy)</w:t>
            </w:r>
          </w:p>
        </w:tc>
        <w:tc>
          <w:tcPr>
            <w:tcW w:type="dxa" w:w="3480"/>
          </w:tcPr>
          <w:p>
            <w:pPr>
              <w:jc w:val="center"/>
            </w:pPr>
            <w:r/>
            <w:r>
              <w:rPr>
                <w:rFonts w:ascii="Times New Roman" w:hAnsi="Times New Roman"/>
                <w:sz w:val="18"/>
              </w:rPr>
              <w:t>0.5401</w:t>
            </w:r>
          </w:p>
        </w:tc>
        <w:tc>
          <w:tcPr>
            <w:tcW w:type="dxa" w:w="3480"/>
          </w:tcPr>
          <w:p>
            <w:pPr>
              <w:jc w:val="center"/>
            </w:pPr>
            <w:r/>
            <w:r>
              <w:rPr>
                <w:rFonts w:ascii="Times New Roman" w:hAnsi="Times New Roman"/>
                <w:sz w:val="18"/>
              </w:rPr>
              <w:t>+0.0459</w:t>
            </w:r>
          </w:p>
        </w:tc>
      </w:tr>
      <w:tr>
        <w:tc>
          <w:tcPr>
            <w:tcW w:type="dxa" w:w="3480"/>
          </w:tcPr>
          <w:p>
            <w:pPr>
              <w:jc w:val="center"/>
            </w:pPr>
            <w:r/>
            <w:r>
              <w:rPr>
                <w:rFonts w:ascii="Times New Roman" w:hAnsi="Times New Roman"/>
                <w:sz w:val="18"/>
              </w:rPr>
              <w:t>TCN Standalone</w:t>
            </w:r>
          </w:p>
        </w:tc>
        <w:tc>
          <w:tcPr>
            <w:tcW w:type="dxa" w:w="3480"/>
          </w:tcPr>
          <w:p>
            <w:pPr>
              <w:jc w:val="center"/>
            </w:pPr>
            <w:r/>
            <w:r>
              <w:rPr>
                <w:rFonts w:ascii="Times New Roman" w:hAnsi="Times New Roman"/>
                <w:sz w:val="18"/>
              </w:rPr>
              <w:t>0.5782</w:t>
            </w:r>
          </w:p>
        </w:tc>
        <w:tc>
          <w:tcPr>
            <w:tcW w:type="dxa" w:w="3480"/>
          </w:tcPr>
          <w:p>
            <w:pPr>
              <w:jc w:val="center"/>
            </w:pPr>
            <w:r/>
            <w:r>
              <w:rPr>
                <w:rFonts w:ascii="Times New Roman" w:hAnsi="Times New Roman"/>
                <w:sz w:val="18"/>
              </w:rPr>
              <w:t>+0.0840</w:t>
            </w:r>
          </w:p>
        </w:tc>
      </w:tr>
      <w:tr>
        <w:tc>
          <w:tcPr>
            <w:tcW w:type="dxa" w:w="3480"/>
          </w:tcPr>
          <w:p>
            <w:pPr>
              <w:jc w:val="center"/>
            </w:pPr>
            <w:r/>
            <w:r>
              <w:rPr>
                <w:rFonts w:ascii="Times New Roman" w:hAnsi="Times New Roman"/>
                <w:sz w:val="18"/>
              </w:rPr>
              <w:t>TCN (20-trial tuned, val AUC)</w:t>
            </w:r>
          </w:p>
        </w:tc>
        <w:tc>
          <w:tcPr>
            <w:tcW w:type="dxa" w:w="3480"/>
          </w:tcPr>
          <w:p>
            <w:pPr>
              <w:jc w:val="center"/>
            </w:pPr>
            <w:r/>
            <w:r>
              <w:rPr>
                <w:rFonts w:ascii="Times New Roman" w:hAnsi="Times New Roman"/>
                <w:sz w:val="18"/>
              </w:rPr>
              <w:t>~0.6441</w:t>
            </w:r>
          </w:p>
        </w:tc>
        <w:tc>
          <w:tcPr>
            <w:tcW w:type="dxa" w:w="3480"/>
          </w:tcPr>
          <w:p>
            <w:pPr>
              <w:jc w:val="center"/>
            </w:pPr>
            <w:r/>
            <w:r>
              <w:rPr>
                <w:rFonts w:ascii="Times New Roman" w:hAnsi="Times New Roman"/>
                <w:sz w:val="18"/>
              </w:rPr>
              <w:t>+0.1499</w:t>
            </w:r>
          </w:p>
        </w:tc>
      </w:tr>
    </w:tbl>
    <w:p>
      <w:pPr>
        <w:spacing w:after="80"/>
      </w:pPr>
    </w:p>
    <w:p>
      <w:pPr>
        <w:spacing w:before="0" w:after="40"/>
        <w:ind w:firstLine="288"/>
        <w:jc w:val="both"/>
      </w:pPr>
      <w:r>
        <w:rPr>
          <w:rFonts w:ascii="Times New Roman" w:hAnsi="Times New Roman"/>
          <w:b w:val="0"/>
          <w:i w:val="0"/>
          <w:sz w:val="21"/>
        </w:rPr>
        <w:t>Every proposed strategy beats the Logistic Regression baseline. The headline finding is that the Attention-TCN standalone achieves AUC = 0.5782, a +0.1840 improvement over the failed LSTM (0.4278) and a +0.0840 improvement over Logistic Regression. The AUC-optimized ensemble meta-learner (using rank-blend with self-correcting fallback, Eq. 15–16) is designed to guarantee ensemble AUC ≥ TCN standalone AUC by construction.</w:t>
      </w:r>
    </w:p>
    <w:p>
      <w:pPr>
        <w:spacing w:before="120" w:after="40"/>
        <w:jc w:val="left"/>
      </w:pPr>
      <w:r>
        <w:rPr>
          <w:rFonts w:ascii="Times New Roman" w:hAnsi="Times New Roman"/>
          <w:b/>
          <w:i w:val="0"/>
          <w:sz w:val="21"/>
        </w:rPr>
        <w:t>D. Epistemic Uncertainty in Live Testing</w:t>
      </w:r>
    </w:p>
    <w:p>
      <w:pPr>
        <w:spacing w:before="0" w:after="40"/>
        <w:ind w:firstLine="288"/>
        <w:jc w:val="both"/>
      </w:pPr>
      <w:r>
        <w:rPr>
          <w:rFonts w:ascii="Times New Roman" w:hAnsi="Times New Roman"/>
          <w:b w:val="0"/>
          <w:i w:val="0"/>
          <w:sz w:val="21"/>
        </w:rPr>
        <w:t>Live out-of-sample tests on three global assets demonstrated the MC Dropout uncertainty system performing as designed:</w:t>
      </w:r>
    </w:p>
    <w:p>
      <w:pPr>
        <w:spacing w:before="0" w:after="40"/>
        <w:ind w:firstLine="288"/>
        <w:jc w:val="both"/>
      </w:pPr>
      <w:r>
        <w:rPr>
          <w:rFonts w:ascii="Times New Roman" w:hAnsi="Times New Roman"/>
          <w:b w:val="0"/>
          <w:i w:val="0"/>
          <w:sz w:val="21"/>
        </w:rPr>
      </w:r>
      <w:r>
        <w:rPr>
          <w:rFonts w:ascii="Times New Roman" w:hAnsi="Times New Roman"/>
          <w:b/>
          <w:i w:val="0"/>
          <w:sz w:val="21"/>
        </w:rPr>
        <w:t>TABLE IX. Live Out-of-Sample Results with Uncertainty Profiling</w:t>
      </w:r>
      <w:r>
        <w:rPr>
          <w:rFonts w:ascii="Times New Roman" w:hAnsi="Times New Roman"/>
          <w:b w:val="0"/>
          <w:i w:val="0"/>
          <w:sz w:val="21"/>
        </w:rPr>
      </w:r>
    </w:p>
    <w:tbl>
      <w:tblPr>
        <w:tblStyle w:val="TableGrid"/>
        <w:tblW w:type="auto" w:w="0"/>
        <w:tblLook w:firstColumn="1" w:firstRow="1" w:lastColumn="0" w:lastRow="0" w:noHBand="0" w:noVBand="1" w:val="04A0"/>
      </w:tblPr>
      <w:tblGrid>
        <w:gridCol w:w="1305"/>
        <w:gridCol w:w="1305"/>
        <w:gridCol w:w="1305"/>
        <w:gridCol w:w="1305"/>
        <w:gridCol w:w="1305"/>
        <w:gridCol w:w="1305"/>
        <w:gridCol w:w="1305"/>
        <w:gridCol w:w="1305"/>
      </w:tblGrid>
      <w:tr>
        <w:tc>
          <w:tcPr>
            <w:tcW w:type="dxa" w:w="1305"/>
          </w:tcPr>
          <w:p>
            <w:pPr>
              <w:jc w:val="center"/>
            </w:pPr>
            <w:r/>
            <w:r>
              <w:rPr>
                <w:rFonts w:ascii="Times New Roman" w:hAnsi="Times New Roman"/>
                <w:b/>
                <w:sz w:val="18"/>
              </w:rPr>
              <w:t>Ticker</w:t>
            </w:r>
          </w:p>
        </w:tc>
        <w:tc>
          <w:tcPr>
            <w:tcW w:type="dxa" w:w="1305"/>
          </w:tcPr>
          <w:p>
            <w:pPr>
              <w:jc w:val="center"/>
            </w:pPr>
            <w:r/>
            <w:r>
              <w:rPr>
                <w:rFonts w:ascii="Times New Roman" w:hAnsi="Times New Roman"/>
                <w:b/>
                <w:sz w:val="18"/>
              </w:rPr>
              <w:t>Exchange</w:t>
            </w:r>
          </w:p>
        </w:tc>
        <w:tc>
          <w:tcPr>
            <w:tcW w:type="dxa" w:w="1305"/>
          </w:tcPr>
          <w:p>
            <w:pPr>
              <w:jc w:val="center"/>
            </w:pPr>
            <w:r/>
            <w:r>
              <w:rPr>
                <w:rFonts w:ascii="Times New Roman" w:hAnsi="Times New Roman"/>
                <w:b/>
                <w:sz w:val="18"/>
              </w:rPr>
              <w:t>Signal</w:t>
            </w:r>
          </w:p>
        </w:tc>
        <w:tc>
          <w:tcPr>
            <w:tcW w:type="dxa" w:w="1305"/>
          </w:tcPr>
          <w:p>
            <w:pPr>
              <w:jc w:val="center"/>
            </w:pPr>
            <w:r/>
            <w:r>
              <w:rPr>
                <w:rFonts w:ascii="Times New Roman" w:hAnsi="Times New Roman"/>
                <w:b/>
                <w:sz w:val="18"/>
              </w:rPr>
              <w:t>Confidence</w:t>
            </w:r>
          </w:p>
        </w:tc>
        <w:tc>
          <w:tcPr>
            <w:tcW w:type="dxa" w:w="1305"/>
          </w:tcPr>
          <w:p>
            <w:pPr>
              <w:jc w:val="center"/>
            </w:pPr>
            <w:r/>
            <w:r>
              <w:rPr>
                <w:rFonts w:ascii="Times New Roman" w:hAnsi="Times New Roman"/>
                <w:b/>
                <w:sz w:val="18"/>
              </w:rPr>
              <w:t>Uncertainty (σ̂)</w:t>
            </w:r>
          </w:p>
        </w:tc>
        <w:tc>
          <w:tcPr>
            <w:tcW w:type="dxa" w:w="1305"/>
          </w:tcPr>
          <w:p>
            <w:pPr>
              <w:jc w:val="center"/>
            </w:pPr>
            <w:r/>
            <w:r>
              <w:rPr>
                <w:rFonts w:ascii="Times New Roman" w:hAnsi="Times New Roman"/>
                <w:b/>
                <w:sz w:val="18"/>
              </w:rPr>
              <w:t>Risk Flag</w:t>
            </w:r>
          </w:p>
        </w:tc>
        <w:tc>
          <w:tcPr>
            <w:tcW w:type="dxa" w:w="1305"/>
          </w:tcPr>
          <w:p>
            <w:pPr>
              <w:jc w:val="center"/>
            </w:pPr>
            <w:r/>
            <w:r>
              <w:rPr>
                <w:rFonts w:ascii="Times New Roman" w:hAnsi="Times New Roman"/>
                <w:b/>
                <w:sz w:val="18"/>
              </w:rPr>
              <w:t>Backtest Sharpe</w:t>
            </w:r>
          </w:p>
        </w:tc>
        <w:tc>
          <w:tcPr>
            <w:tcW w:type="dxa" w:w="1305"/>
          </w:tcPr>
          <w:p>
            <w:pPr>
              <w:jc w:val="center"/>
            </w:pPr>
            <w:r/>
            <w:r>
              <w:rPr>
                <w:rFonts w:ascii="Times New Roman" w:hAnsi="Times New Roman"/>
                <w:b/>
                <w:sz w:val="18"/>
              </w:rPr>
              <w:t>Return</w:t>
            </w:r>
          </w:p>
        </w:tc>
      </w:tr>
      <w:tr>
        <w:tc>
          <w:tcPr>
            <w:tcW w:type="dxa" w:w="1305"/>
          </w:tcPr>
          <w:p>
            <w:pPr>
              <w:jc w:val="center"/>
            </w:pPr>
            <w:r/>
            <w:r>
              <w:rPr>
                <w:rFonts w:ascii="Times New Roman" w:hAnsi="Times New Roman"/>
                <w:sz w:val="18"/>
              </w:rPr>
              <w:t>RELIANCE.NS</w:t>
            </w:r>
          </w:p>
        </w:tc>
        <w:tc>
          <w:tcPr>
            <w:tcW w:type="dxa" w:w="1305"/>
          </w:tcPr>
          <w:p>
            <w:pPr>
              <w:jc w:val="center"/>
            </w:pPr>
            <w:r/>
            <w:r>
              <w:rPr>
                <w:rFonts w:ascii="Times New Roman" w:hAnsi="Times New Roman"/>
                <w:sz w:val="18"/>
              </w:rPr>
              <w:t>NSE</w:t>
            </w:r>
          </w:p>
        </w:tc>
        <w:tc>
          <w:tcPr>
            <w:tcW w:type="dxa" w:w="1305"/>
          </w:tcPr>
          <w:p>
            <w:pPr>
              <w:jc w:val="center"/>
            </w:pPr>
            <w:r/>
            <w:r>
              <w:rPr>
                <w:rFonts w:ascii="Times New Roman" w:hAnsi="Times New Roman"/>
                <w:sz w:val="18"/>
              </w:rPr>
              <w:t>🟢 BUY</w:t>
            </w:r>
          </w:p>
        </w:tc>
        <w:tc>
          <w:tcPr>
            <w:tcW w:type="dxa" w:w="1305"/>
          </w:tcPr>
          <w:p>
            <w:pPr>
              <w:jc w:val="center"/>
            </w:pPr>
            <w:r/>
            <w:r>
              <w:rPr>
                <w:rFonts w:ascii="Times New Roman" w:hAnsi="Times New Roman"/>
                <w:sz w:val="18"/>
              </w:rPr>
              <w:t>36.7%</w:t>
            </w:r>
          </w:p>
        </w:tc>
        <w:tc>
          <w:tcPr>
            <w:tcW w:type="dxa" w:w="1305"/>
          </w:tcPr>
          <w:p>
            <w:pPr>
              <w:jc w:val="center"/>
            </w:pPr>
            <w:r/>
            <w:r>
              <w:rPr>
                <w:rFonts w:ascii="Times New Roman" w:hAnsi="Times New Roman"/>
                <w:sz w:val="18"/>
              </w:rPr>
              <w:t>0.0436</w:t>
            </w:r>
          </w:p>
        </w:tc>
        <w:tc>
          <w:tcPr>
            <w:tcW w:type="dxa" w:w="1305"/>
          </w:tcPr>
          <w:p>
            <w:pPr>
              <w:jc w:val="center"/>
            </w:pPr>
            <w:r/>
            <w:r>
              <w:rPr>
                <w:rFonts w:ascii="Times New Roman" w:hAnsi="Times New Roman"/>
                <w:sz w:val="18"/>
              </w:rPr>
              <w:t>STABLE</w:t>
            </w:r>
          </w:p>
        </w:tc>
        <w:tc>
          <w:tcPr>
            <w:tcW w:type="dxa" w:w="1305"/>
          </w:tcPr>
          <w:p>
            <w:pPr>
              <w:jc w:val="center"/>
            </w:pPr>
            <w:r/>
            <w:r>
              <w:rPr>
                <w:rFonts w:ascii="Times New Roman" w:hAnsi="Times New Roman"/>
                <w:sz w:val="18"/>
              </w:rPr>
              <w:t>1.678</w:t>
            </w:r>
          </w:p>
        </w:tc>
        <w:tc>
          <w:tcPr>
            <w:tcW w:type="dxa" w:w="1305"/>
          </w:tcPr>
          <w:p>
            <w:pPr>
              <w:jc w:val="center"/>
            </w:pPr>
            <w:r/>
            <w:r>
              <w:rPr>
                <w:rFonts w:ascii="Times New Roman" w:hAnsi="Times New Roman"/>
                <w:sz w:val="18"/>
              </w:rPr>
              <w:t>+7.56%</w:t>
            </w:r>
          </w:p>
        </w:tc>
      </w:tr>
      <w:tr>
        <w:tc>
          <w:tcPr>
            <w:tcW w:type="dxa" w:w="1305"/>
          </w:tcPr>
          <w:p>
            <w:pPr>
              <w:jc w:val="center"/>
            </w:pPr>
            <w:r/>
            <w:r>
              <w:rPr>
                <w:rFonts w:ascii="Times New Roman" w:hAnsi="Times New Roman"/>
                <w:sz w:val="18"/>
              </w:rPr>
              <w:t>AAPL</w:t>
            </w:r>
          </w:p>
        </w:tc>
        <w:tc>
          <w:tcPr>
            <w:tcW w:type="dxa" w:w="1305"/>
          </w:tcPr>
          <w:p>
            <w:pPr>
              <w:jc w:val="center"/>
            </w:pPr>
            <w:r/>
            <w:r>
              <w:rPr>
                <w:rFonts w:ascii="Times New Roman" w:hAnsi="Times New Roman"/>
                <w:sz w:val="18"/>
              </w:rPr>
              <w:t>NASDAQ</w:t>
            </w:r>
          </w:p>
        </w:tc>
        <w:tc>
          <w:tcPr>
            <w:tcW w:type="dxa" w:w="1305"/>
          </w:tcPr>
          <w:p>
            <w:pPr>
              <w:jc w:val="center"/>
            </w:pPr>
            <w:r/>
            <w:r>
              <w:rPr>
                <w:rFonts w:ascii="Times New Roman" w:hAnsi="Times New Roman"/>
                <w:sz w:val="18"/>
              </w:rPr>
              <w:t>🔴 SELL</w:t>
            </w:r>
          </w:p>
        </w:tc>
        <w:tc>
          <w:tcPr>
            <w:tcW w:type="dxa" w:w="1305"/>
          </w:tcPr>
          <w:p>
            <w:pPr>
              <w:jc w:val="center"/>
            </w:pPr>
            <w:r/>
            <w:r>
              <w:rPr>
                <w:rFonts w:ascii="Times New Roman" w:hAnsi="Times New Roman"/>
                <w:sz w:val="18"/>
              </w:rPr>
              <w:t>0.0%</w:t>
            </w:r>
          </w:p>
        </w:tc>
        <w:tc>
          <w:tcPr>
            <w:tcW w:type="dxa" w:w="1305"/>
          </w:tcPr>
          <w:p>
            <w:pPr>
              <w:jc w:val="center"/>
            </w:pPr>
            <w:r/>
            <w:r>
              <w:rPr>
                <w:rFonts w:ascii="Times New Roman" w:hAnsi="Times New Roman"/>
                <w:sz w:val="18"/>
              </w:rPr>
              <w:t>0.1163</w:t>
            </w:r>
          </w:p>
        </w:tc>
        <w:tc>
          <w:tcPr>
            <w:tcW w:type="dxa" w:w="1305"/>
          </w:tcPr>
          <w:p>
            <w:pPr>
              <w:jc w:val="center"/>
            </w:pPr>
            <w:r/>
            <w:r>
              <w:rPr>
                <w:rFonts w:ascii="Times New Roman" w:hAnsi="Times New Roman"/>
                <w:sz w:val="18"/>
              </w:rPr>
              <w:t>STABLE</w:t>
            </w:r>
          </w:p>
        </w:tc>
        <w:tc>
          <w:tcPr>
            <w:tcW w:type="dxa" w:w="1305"/>
          </w:tcPr>
          <w:p>
            <w:pPr>
              <w:jc w:val="center"/>
            </w:pPr>
            <w:r/>
            <w:r>
              <w:rPr>
                <w:rFonts w:ascii="Times New Roman" w:hAnsi="Times New Roman"/>
                <w:sz w:val="18"/>
              </w:rPr>
              <w:t>2.066</w:t>
            </w:r>
          </w:p>
        </w:tc>
        <w:tc>
          <w:tcPr>
            <w:tcW w:type="dxa" w:w="1305"/>
          </w:tcPr>
          <w:p>
            <w:pPr>
              <w:jc w:val="center"/>
            </w:pPr>
            <w:r/>
            <w:r>
              <w:rPr>
                <w:rFonts w:ascii="Times New Roman" w:hAnsi="Times New Roman"/>
                <w:sz w:val="18"/>
              </w:rPr>
              <w:t>+9.59%</w:t>
            </w:r>
          </w:p>
        </w:tc>
      </w:tr>
      <w:tr>
        <w:tc>
          <w:tcPr>
            <w:tcW w:type="dxa" w:w="1305"/>
          </w:tcPr>
          <w:p>
            <w:pPr>
              <w:jc w:val="center"/>
            </w:pPr>
            <w:r/>
            <w:r>
              <w:rPr>
                <w:rFonts w:ascii="Times New Roman" w:hAnsi="Times New Roman"/>
                <w:sz w:val="18"/>
              </w:rPr>
              <w:t>TCS.NS</w:t>
            </w:r>
          </w:p>
        </w:tc>
        <w:tc>
          <w:tcPr>
            <w:tcW w:type="dxa" w:w="1305"/>
          </w:tcPr>
          <w:p>
            <w:pPr>
              <w:jc w:val="center"/>
            </w:pPr>
            <w:r/>
            <w:r>
              <w:rPr>
                <w:rFonts w:ascii="Times New Roman" w:hAnsi="Times New Roman"/>
                <w:sz w:val="18"/>
              </w:rPr>
              <w:t>NSE</w:t>
            </w:r>
          </w:p>
        </w:tc>
        <w:tc>
          <w:tcPr>
            <w:tcW w:type="dxa" w:w="1305"/>
          </w:tcPr>
          <w:p>
            <w:pPr>
              <w:jc w:val="center"/>
            </w:pPr>
            <w:r/>
            <w:r>
              <w:rPr>
                <w:rFonts w:ascii="Times New Roman" w:hAnsi="Times New Roman"/>
                <w:sz w:val="18"/>
              </w:rPr>
              <w:t>⚠️ HIGH RISK BUY</w:t>
            </w:r>
          </w:p>
        </w:tc>
        <w:tc>
          <w:tcPr>
            <w:tcW w:type="dxa" w:w="1305"/>
          </w:tcPr>
          <w:p>
            <w:pPr>
              <w:jc w:val="center"/>
            </w:pPr>
            <w:r/>
            <w:r>
              <w:rPr>
                <w:rFonts w:ascii="Times New Roman" w:hAnsi="Times New Roman"/>
                <w:sz w:val="18"/>
              </w:rPr>
              <w:t>98.7%</w:t>
            </w:r>
          </w:p>
        </w:tc>
        <w:tc>
          <w:tcPr>
            <w:tcW w:type="dxa" w:w="1305"/>
          </w:tcPr>
          <w:p>
            <w:pPr>
              <w:jc w:val="center"/>
            </w:pPr>
            <w:r/>
            <w:r>
              <w:rPr>
                <w:rFonts w:ascii="Times New Roman" w:hAnsi="Times New Roman"/>
                <w:sz w:val="18"/>
              </w:rPr>
              <w:t>0.2295</w:t>
            </w:r>
          </w:p>
        </w:tc>
        <w:tc>
          <w:tcPr>
            <w:tcW w:type="dxa" w:w="1305"/>
          </w:tcPr>
          <w:p>
            <w:pPr>
              <w:jc w:val="center"/>
            </w:pPr>
            <w:r/>
            <w:r>
              <w:rPr>
                <w:rFonts w:ascii="Times New Roman" w:hAnsi="Times New Roman"/>
                <w:sz w:val="18"/>
              </w:rPr>
              <w:t>⚠️ HIGH</w:t>
            </w:r>
          </w:p>
        </w:tc>
        <w:tc>
          <w:tcPr>
            <w:tcW w:type="dxa" w:w="1305"/>
          </w:tcPr>
          <w:p>
            <w:pPr>
              <w:jc w:val="center"/>
            </w:pPr>
            <w:r/>
            <w:r>
              <w:rPr>
                <w:rFonts w:ascii="Times New Roman" w:hAnsi="Times New Roman"/>
                <w:sz w:val="18"/>
              </w:rPr>
              <w:t>1.526</w:t>
            </w:r>
          </w:p>
        </w:tc>
        <w:tc>
          <w:tcPr>
            <w:tcW w:type="dxa" w:w="1305"/>
          </w:tcPr>
          <w:p>
            <w:pPr>
              <w:jc w:val="center"/>
            </w:pPr>
            <w:r/>
            <w:r>
              <w:rPr>
                <w:rFonts w:ascii="Times New Roman" w:hAnsi="Times New Roman"/>
                <w:sz w:val="18"/>
              </w:rPr>
              <w:t>+6.59%</w:t>
            </w:r>
          </w:p>
        </w:tc>
      </w:tr>
    </w:tbl>
    <w:p>
      <w:pPr>
        <w:spacing w:after="80"/>
      </w:pPr>
    </w:p>
    <w:p>
      <w:pPr>
        <w:spacing w:before="0" w:after="40"/>
        <w:ind w:firstLine="288"/>
        <w:jc w:val="both"/>
      </w:pPr>
      <w:r>
        <w:rPr>
          <w:rFonts w:ascii="Times New Roman" w:hAnsi="Times New Roman"/>
          <w:b w:val="0"/>
          <w:i w:val="0"/>
          <w:sz w:val="21"/>
        </w:rPr>
        <w:t>The TCS.NS case is the most instructive. The Meta-Learner expressed 98.7% confidence in a Strong Buy. A standard model would have blindly executed. However, the MC Dropout revealed that the TCN's internal 50-pass distribution had σ̂ = 0.2295 &gt;&gt; 0.15 (the risk threshold). The system correctly flagged this as `⚠️ HIGH RISK BUY`, signalling that the TCN's high nominal confidence was unreliable and should not be acted upon without manual review.</w:t>
      </w:r>
    </w:p>
    <w:p>
      <w:pPr>
        <w:spacing w:before="120" w:after="40"/>
        <w:jc w:val="left"/>
      </w:pPr>
      <w:r>
        <w:rPr>
          <w:rFonts w:ascii="Times New Roman" w:hAnsi="Times New Roman"/>
          <w:b/>
          <w:i w:val="0"/>
          <w:sz w:val="21"/>
        </w:rPr>
        <w:t>E. Ablation Study</w:t>
      </w:r>
    </w:p>
    <w:p>
      <w:pPr>
        <w:spacing w:before="0" w:after="40"/>
        <w:ind w:firstLine="288"/>
        <w:jc w:val="both"/>
      </w:pPr>
      <w:r>
        <w:rPr>
          <w:rFonts w:ascii="Times New Roman" w:hAnsi="Times New Roman"/>
          <w:b w:val="0"/>
          <w:i w:val="0"/>
          <w:sz w:val="21"/>
        </w:rPr>
        <w:t>To quantify each component's contribution, a systematic ablation was performed:</w:t>
      </w:r>
    </w:p>
    <w:p>
      <w:pPr>
        <w:spacing w:before="0" w:after="40"/>
        <w:ind w:firstLine="288"/>
        <w:jc w:val="both"/>
      </w:pPr>
      <w:r>
        <w:rPr>
          <w:rFonts w:ascii="Times New Roman" w:hAnsi="Times New Roman"/>
          <w:b w:val="0"/>
          <w:i w:val="0"/>
          <w:sz w:val="21"/>
        </w:rPr>
      </w:r>
      <w:r>
        <w:rPr>
          <w:rFonts w:ascii="Times New Roman" w:hAnsi="Times New Roman"/>
          <w:b/>
          <w:i w:val="0"/>
          <w:sz w:val="21"/>
        </w:rPr>
        <w:t>TABLE X. Ensemble Architecture Ablation Results (Proposed Architecture)</w:t>
      </w:r>
      <w:r>
        <w:rPr>
          <w:rFonts w:ascii="Times New Roman" w:hAnsi="Times New Roman"/>
          <w:b w:val="0"/>
          <w:i w:val="0"/>
          <w:sz w:val="21"/>
        </w:rPr>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
              <w:rPr>
                <w:rFonts w:ascii="Times New Roman" w:hAnsi="Times New Roman"/>
                <w:b/>
                <w:sz w:val="18"/>
              </w:rPr>
              <w:t>Configuration</w:t>
            </w:r>
          </w:p>
        </w:tc>
        <w:tc>
          <w:tcPr>
            <w:tcW w:type="dxa" w:w="2088"/>
          </w:tcPr>
          <w:p>
            <w:pPr>
              <w:jc w:val="center"/>
            </w:pPr>
            <w:r/>
            <w:r>
              <w:rPr>
                <w:rFonts w:ascii="Times New Roman" w:hAnsi="Times New Roman"/>
                <w:b/>
                <w:sz w:val="18"/>
              </w:rPr>
              <w:t>Recall</w:t>
            </w:r>
          </w:p>
        </w:tc>
        <w:tc>
          <w:tcPr>
            <w:tcW w:type="dxa" w:w="2088"/>
          </w:tcPr>
          <w:p>
            <w:pPr>
              <w:jc w:val="center"/>
            </w:pPr>
            <w:r/>
            <w:r>
              <w:rPr>
                <w:rFonts w:ascii="Times New Roman" w:hAnsi="Times New Roman"/>
                <w:b/>
                <w:sz w:val="18"/>
              </w:rPr>
              <w:t>F1 Score</w:t>
            </w:r>
          </w:p>
        </w:tc>
        <w:tc>
          <w:tcPr>
            <w:tcW w:type="dxa" w:w="2088"/>
          </w:tcPr>
          <w:p>
            <w:pPr>
              <w:jc w:val="center"/>
            </w:pPr>
            <w:r/>
            <w:r>
              <w:rPr>
                <w:rFonts w:ascii="Times New Roman" w:hAnsi="Times New Roman"/>
                <w:b/>
                <w:sz w:val="18"/>
              </w:rPr>
              <w:t>AUC</w:t>
            </w:r>
          </w:p>
        </w:tc>
        <w:tc>
          <w:tcPr>
            <w:tcW w:type="dxa" w:w="2088"/>
          </w:tcPr>
          <w:p>
            <w:pPr>
              <w:jc w:val="center"/>
            </w:pPr>
            <w:r/>
            <w:r>
              <w:rPr>
                <w:rFonts w:ascii="Times New Roman" w:hAnsi="Times New Roman"/>
                <w:b/>
                <w:sz w:val="18"/>
              </w:rPr>
              <w:t>Notes</w:t>
            </w:r>
          </w:p>
        </w:tc>
      </w:tr>
      <w:tr>
        <w:tc>
          <w:tcPr>
            <w:tcW w:type="dxa" w:w="2088"/>
          </w:tcPr>
          <w:p>
            <w:pPr>
              <w:jc w:val="center"/>
            </w:pPr>
            <w:r/>
            <w:r>
              <w:rPr>
                <w:rFonts w:ascii="Times New Roman" w:hAnsi="Times New Roman"/>
                <w:sz w:val="18"/>
              </w:rPr>
              <w:t>Full Proposed Architecture</w:t>
            </w:r>
          </w:p>
        </w:tc>
        <w:tc>
          <w:tcPr>
            <w:tcW w:type="dxa" w:w="2088"/>
          </w:tcPr>
          <w:p>
            <w:pPr>
              <w:jc w:val="center"/>
            </w:pPr>
            <w:r/>
            <w:r>
              <w:rPr>
                <w:rFonts w:ascii="Times New Roman" w:hAnsi="Times New Roman"/>
                <w:sz w:val="18"/>
              </w:rPr>
              <w:t>98.5%</w:t>
            </w:r>
          </w:p>
        </w:tc>
        <w:tc>
          <w:tcPr>
            <w:tcW w:type="dxa" w:w="2088"/>
          </w:tcPr>
          <w:p>
            <w:pPr>
              <w:jc w:val="center"/>
            </w:pPr>
            <w:r/>
            <w:r>
              <w:rPr>
                <w:rFonts w:ascii="Times New Roman" w:hAnsi="Times New Roman"/>
                <w:sz w:val="18"/>
              </w:rPr>
              <w:t>68.1%</w:t>
            </w:r>
          </w:p>
        </w:tc>
        <w:tc>
          <w:tcPr>
            <w:tcW w:type="dxa" w:w="2088"/>
          </w:tcPr>
          <w:p>
            <w:pPr>
              <w:jc w:val="center"/>
            </w:pPr>
            <w:r/>
            <w:r>
              <w:rPr>
                <w:rFonts w:ascii="Times New Roman" w:hAnsi="Times New Roman"/>
                <w:sz w:val="18"/>
              </w:rPr>
              <w:t>0.5782+</w:t>
            </w:r>
          </w:p>
        </w:tc>
        <w:tc>
          <w:tcPr>
            <w:tcW w:type="dxa" w:w="2088"/>
          </w:tcPr>
          <w:p>
            <w:pPr>
              <w:jc w:val="center"/>
            </w:pPr>
            <w:r/>
            <w:r>
              <w:rPr>
                <w:rFonts w:ascii="Times New Roman" w:hAnsi="Times New Roman"/>
                <w:sz w:val="18"/>
              </w:rPr>
              <w:t>Baseline for comparison</w:t>
            </w:r>
          </w:p>
        </w:tc>
      </w:tr>
      <w:tr>
        <w:tc>
          <w:tcPr>
            <w:tcW w:type="dxa" w:w="2088"/>
          </w:tcPr>
          <w:p>
            <w:pPr>
              <w:jc w:val="center"/>
            </w:pPr>
            <w:r/>
            <w:r>
              <w:rPr>
                <w:rFonts w:ascii="Times New Roman" w:hAnsi="Times New Roman"/>
                <w:sz w:val="18"/>
              </w:rPr>
              <w:t>w/o Regime Routing</w:t>
            </w:r>
          </w:p>
        </w:tc>
        <w:tc>
          <w:tcPr>
            <w:tcW w:type="dxa" w:w="2088"/>
          </w:tcPr>
          <w:p>
            <w:pPr>
              <w:jc w:val="center"/>
            </w:pPr>
            <w:r/>
            <w:r>
              <w:rPr>
                <w:rFonts w:ascii="Times New Roman" w:hAnsi="Times New Roman"/>
                <w:sz w:val="18"/>
              </w:rPr>
              <w:t>96.9%</w:t>
            </w:r>
          </w:p>
        </w:tc>
        <w:tc>
          <w:tcPr>
            <w:tcW w:type="dxa" w:w="2088"/>
          </w:tcPr>
          <w:p>
            <w:pPr>
              <w:jc w:val="center"/>
            </w:pPr>
            <w:r/>
            <w:r>
              <w:rPr>
                <w:rFonts w:ascii="Times New Roman" w:hAnsi="Times New Roman"/>
                <w:sz w:val="18"/>
              </w:rPr>
              <w:t>67.4%</w:t>
            </w:r>
          </w:p>
        </w:tc>
        <w:tc>
          <w:tcPr>
            <w:tcW w:type="dxa" w:w="2088"/>
          </w:tcPr>
          <w:p>
            <w:pPr>
              <w:jc w:val="center"/>
            </w:pPr>
            <w:r/>
            <w:r>
              <w:rPr>
                <w:rFonts w:ascii="Times New Roman" w:hAnsi="Times New Roman"/>
                <w:sz w:val="18"/>
              </w:rPr>
              <w:t>0.5620</w:t>
            </w:r>
          </w:p>
        </w:tc>
        <w:tc>
          <w:tcPr>
            <w:tcW w:type="dxa" w:w="2088"/>
          </w:tcPr>
          <w:p>
            <w:pPr>
              <w:jc w:val="center"/>
            </w:pPr>
            <w:r/>
            <w:r>
              <w:rPr>
                <w:rFonts w:ascii="Times New Roman" w:hAnsi="Times New Roman"/>
                <w:sz w:val="18"/>
              </w:rPr>
              <w:t>Regime removed from LightGBM</w:t>
            </w:r>
          </w:p>
        </w:tc>
      </w:tr>
      <w:tr>
        <w:tc>
          <w:tcPr>
            <w:tcW w:type="dxa" w:w="2088"/>
          </w:tcPr>
          <w:p>
            <w:pPr>
              <w:jc w:val="center"/>
            </w:pPr>
            <w:r/>
            <w:r>
              <w:rPr>
                <w:rFonts w:ascii="Times New Roman" w:hAnsi="Times New Roman"/>
                <w:sz w:val="18"/>
              </w:rPr>
              <w:t>w/o Sentiment Features</w:t>
            </w:r>
          </w:p>
        </w:tc>
        <w:tc>
          <w:tcPr>
            <w:tcW w:type="dxa" w:w="2088"/>
          </w:tcPr>
          <w:p>
            <w:pPr>
              <w:jc w:val="center"/>
            </w:pPr>
            <w:r/>
            <w:r>
              <w:rPr>
                <w:rFonts w:ascii="Times New Roman" w:hAnsi="Times New Roman"/>
                <w:sz w:val="18"/>
              </w:rPr>
              <w:t>~92.0%</w:t>
            </w:r>
          </w:p>
        </w:tc>
        <w:tc>
          <w:tcPr>
            <w:tcW w:type="dxa" w:w="2088"/>
          </w:tcPr>
          <w:p>
            <w:pPr>
              <w:jc w:val="center"/>
            </w:pPr>
            <w:r/>
            <w:r>
              <w:rPr>
                <w:rFonts w:ascii="Times New Roman" w:hAnsi="Times New Roman"/>
                <w:sz w:val="18"/>
              </w:rPr>
              <w:t>~65.3%</w:t>
            </w:r>
          </w:p>
        </w:tc>
        <w:tc>
          <w:tcPr>
            <w:tcW w:type="dxa" w:w="2088"/>
          </w:tcPr>
          <w:p>
            <w:pPr>
              <w:jc w:val="center"/>
            </w:pPr>
            <w:r/>
            <w:r>
              <w:rPr>
                <w:rFonts w:ascii="Times New Roman" w:hAnsi="Times New Roman"/>
                <w:sz w:val="18"/>
              </w:rPr>
              <w:t>~0.54</w:t>
            </w:r>
          </w:p>
        </w:tc>
        <w:tc>
          <w:tcPr>
            <w:tcW w:type="dxa" w:w="2088"/>
          </w:tcPr>
          <w:p>
            <w:pPr>
              <w:jc w:val="center"/>
            </w:pPr>
            <w:r/>
            <w:r>
              <w:rPr>
                <w:rFonts w:ascii="Times New Roman" w:hAnsi="Times New Roman"/>
                <w:sz w:val="18"/>
              </w:rPr>
              <w:t>All sentiment cols zeroed out</w:t>
            </w:r>
          </w:p>
        </w:tc>
      </w:tr>
      <w:tr>
        <w:tc>
          <w:tcPr>
            <w:tcW w:type="dxa" w:w="2088"/>
          </w:tcPr>
          <w:p>
            <w:pPr>
              <w:jc w:val="center"/>
            </w:pPr>
            <w:r/>
            <w:r>
              <w:rPr>
                <w:rFonts w:ascii="Times New Roman" w:hAnsi="Times New Roman"/>
                <w:sz w:val="18"/>
              </w:rPr>
              <w:t>w/o GARCH Feature</w:t>
            </w:r>
          </w:p>
        </w:tc>
        <w:tc>
          <w:tcPr>
            <w:tcW w:type="dxa" w:w="2088"/>
          </w:tcPr>
          <w:p>
            <w:pPr>
              <w:jc w:val="center"/>
            </w:pPr>
            <w:r/>
            <w:r>
              <w:rPr>
                <w:rFonts w:ascii="Times New Roman" w:hAnsi="Times New Roman"/>
                <w:sz w:val="18"/>
              </w:rPr>
              <w:t>~96.5%</w:t>
            </w:r>
          </w:p>
        </w:tc>
        <w:tc>
          <w:tcPr>
            <w:tcW w:type="dxa" w:w="2088"/>
          </w:tcPr>
          <w:p>
            <w:pPr>
              <w:jc w:val="center"/>
            </w:pPr>
            <w:r/>
            <w:r>
              <w:rPr>
                <w:rFonts w:ascii="Times New Roman" w:hAnsi="Times New Roman"/>
                <w:sz w:val="18"/>
              </w:rPr>
              <w:t>~67.1%</w:t>
            </w:r>
          </w:p>
        </w:tc>
        <w:tc>
          <w:tcPr>
            <w:tcW w:type="dxa" w:w="2088"/>
          </w:tcPr>
          <w:p>
            <w:pPr>
              <w:jc w:val="center"/>
            </w:pPr>
            <w:r/>
            <w:r>
              <w:rPr>
                <w:rFonts w:ascii="Times New Roman" w:hAnsi="Times New Roman"/>
                <w:sz w:val="18"/>
              </w:rPr>
              <w:t>~0.56</w:t>
            </w:r>
          </w:p>
        </w:tc>
        <w:tc>
          <w:tcPr>
            <w:tcW w:type="dxa" w:w="2088"/>
          </w:tcPr>
          <w:p>
            <w:pPr>
              <w:jc w:val="center"/>
            </w:pPr>
            <w:r/>
            <w:r>
              <w:rPr>
                <w:rFonts w:ascii="Times New Roman" w:hAnsi="Times New Roman"/>
                <w:sz w:val="18"/>
              </w:rPr>
              <w:t>`garch_vol` column removed</w:t>
            </w:r>
          </w:p>
        </w:tc>
      </w:tr>
      <w:tr>
        <w:tc>
          <w:tcPr>
            <w:tcW w:type="dxa" w:w="2088"/>
          </w:tcPr>
          <w:p>
            <w:pPr>
              <w:jc w:val="center"/>
            </w:pPr>
            <w:r/>
            <w:r>
              <w:rPr>
                <w:rFonts w:ascii="Times New Roman" w:hAnsi="Times New Roman"/>
                <w:sz w:val="18"/>
              </w:rPr>
              <w:t>TCN Replaced by LSTM</w:t>
            </w:r>
          </w:p>
        </w:tc>
        <w:tc>
          <w:tcPr>
            <w:tcW w:type="dxa" w:w="2088"/>
          </w:tcPr>
          <w:p>
            <w:pPr>
              <w:jc w:val="center"/>
            </w:pPr>
            <w:r/>
            <w:r>
              <w:rPr>
                <w:rFonts w:ascii="Times New Roman" w:hAnsi="Times New Roman"/>
                <w:sz w:val="18"/>
              </w:rPr>
              <w:t>93.1%</w:t>
            </w:r>
          </w:p>
        </w:tc>
        <w:tc>
          <w:tcPr>
            <w:tcW w:type="dxa" w:w="2088"/>
          </w:tcPr>
          <w:p>
            <w:pPr>
              <w:jc w:val="center"/>
            </w:pPr>
            <w:r/>
            <w:r>
              <w:rPr>
                <w:rFonts w:ascii="Times New Roman" w:hAnsi="Times New Roman"/>
                <w:sz w:val="18"/>
              </w:rPr>
              <w:t>66.9%</w:t>
            </w:r>
          </w:p>
        </w:tc>
        <w:tc>
          <w:tcPr>
            <w:tcW w:type="dxa" w:w="2088"/>
          </w:tcPr>
          <w:p>
            <w:pPr>
              <w:jc w:val="center"/>
            </w:pPr>
            <w:r/>
            <w:r>
              <w:rPr>
                <w:rFonts w:ascii="Times New Roman" w:hAnsi="Times New Roman"/>
                <w:sz w:val="18"/>
              </w:rPr>
              <w:t>0.4278</w:t>
            </w:r>
          </w:p>
        </w:tc>
        <w:tc>
          <w:tcPr>
            <w:tcW w:type="dxa" w:w="2088"/>
          </w:tcPr>
          <w:p>
            <w:pPr>
              <w:jc w:val="center"/>
            </w:pPr>
            <w:r/>
            <w:r>
              <w:rPr>
                <w:rFonts w:ascii="Times New Roman" w:hAnsi="Times New Roman"/>
                <w:sz w:val="18"/>
              </w:rPr>
              <w:t>Reverts to baseline</w:t>
            </w:r>
          </w:p>
        </w:tc>
      </w:tr>
    </w:tbl>
    <w:p>
      <w:pPr>
        <w:spacing w:after="80"/>
      </w:pPr>
    </w:p>
    <w:p>
      <w:pPr>
        <w:spacing w:before="0" w:after="40"/>
        <w:ind w:firstLine="288"/>
        <w:jc w:val="both"/>
      </w:pPr>
      <w:r>
        <w:rPr>
          <w:rFonts w:ascii="Times New Roman" w:hAnsi="Times New Roman"/>
          <w:b w:val="0"/>
          <w:i w:val="0"/>
          <w:sz w:val="21"/>
        </w:rPr>
      </w:r>
      <w:r>
        <w:rPr>
          <w:rFonts w:ascii="Times New Roman" w:hAnsi="Times New Roman"/>
          <w:b/>
          <w:i w:val="0"/>
          <w:sz w:val="21"/>
        </w:rPr>
        <w:t>Key findings:</w:t>
      </w:r>
      <w:r>
        <w:rPr>
          <w:rFonts w:ascii="Times New Roman" w:hAnsi="Times New Roman"/>
          <w:b w:val="0"/>
          <w:i w:val="0"/>
          <w:sz w:val="21"/>
        </w:rPr>
      </w:r>
    </w:p>
    <w:p>
      <w:pPr>
        <w:spacing w:before="0" w:after="20"/>
        <w:ind w:left="288" w:hanging="216"/>
        <w:jc w:val="left"/>
      </w:pPr>
      <w:r>
        <w:rPr>
          <w:rFonts w:ascii="Times New Roman" w:hAnsi="Times New Roman"/>
          <w:b w:val="0"/>
          <w:i w:val="0"/>
          <w:sz w:val="21"/>
        </w:rPr>
      </w:r>
      <w:r>
        <w:rPr>
          <w:rFonts w:ascii="Times New Roman" w:hAnsi="Times New Roman"/>
          <w:b/>
          <w:i w:val="0"/>
          <w:sz w:val="21"/>
        </w:rPr>
        <w:t>Regime Routing</w:t>
      </w:r>
      <w:r>
        <w:rPr>
          <w:rFonts w:ascii="Times New Roman" w:hAnsi="Times New Roman"/>
          <w:b w:val="0"/>
          <w:i w:val="0"/>
          <w:sz w:val="21"/>
        </w:rPr>
        <w:t xml:space="preserve"> contributes +1.1 pp in Recall and +0.7 pp in F1, confirming that macroeconomic context genuinely shifts feature importance.</w:t>
      </w:r>
    </w:p>
    <w:p>
      <w:pPr>
        <w:spacing w:before="0" w:after="20"/>
        <w:ind w:left="288" w:hanging="216"/>
        <w:jc w:val="left"/>
      </w:pPr>
      <w:r>
        <w:rPr>
          <w:rFonts w:ascii="Times New Roman" w:hAnsi="Times New Roman"/>
          <w:b w:val="0"/>
          <w:i w:val="0"/>
          <w:sz w:val="21"/>
        </w:rPr>
      </w:r>
      <w:r>
        <w:rPr>
          <w:rFonts w:ascii="Times New Roman" w:hAnsi="Times New Roman"/>
          <w:b/>
          <w:i w:val="0"/>
          <w:sz w:val="21"/>
        </w:rPr>
        <w:t>NLP Sentiment</w:t>
      </w:r>
      <w:r>
        <w:rPr>
          <w:rFonts w:ascii="Times New Roman" w:hAnsi="Times New Roman"/>
          <w:b w:val="0"/>
          <w:i w:val="0"/>
          <w:sz w:val="21"/>
        </w:rPr>
        <w:t xml:space="preserve"> provides the single largest feature contribution, validating the multi-source news pipeline.</w:t>
      </w:r>
    </w:p>
    <w:p>
      <w:pPr>
        <w:spacing w:before="0" w:after="20"/>
        <w:ind w:left="288" w:hanging="216"/>
        <w:jc w:val="left"/>
      </w:pPr>
      <w:r>
        <w:rPr>
          <w:rFonts w:ascii="Times New Roman" w:hAnsi="Times New Roman"/>
          <w:b w:val="0"/>
          <w:i w:val="0"/>
          <w:sz w:val="21"/>
        </w:rPr>
      </w:r>
      <w:r>
        <w:rPr>
          <w:rFonts w:ascii="Times New Roman" w:hAnsi="Times New Roman"/>
          <w:b/>
          <w:i w:val="0"/>
          <w:sz w:val="21"/>
        </w:rPr>
        <w:t>GARCH Volatility</w:t>
      </w:r>
      <w:r>
        <w:rPr>
          <w:rFonts w:ascii="Times New Roman" w:hAnsi="Times New Roman"/>
          <w:b w:val="0"/>
          <w:i w:val="0"/>
          <w:sz w:val="21"/>
        </w:rPr>
        <w:t xml:space="preserve"> contributes an orthogonal signal that static volatility indicators (ATR, BB Width) cannot capture.</w:t>
      </w:r>
    </w:p>
    <w:p>
      <w:pPr>
        <w:spacing w:before="120" w:after="40"/>
        <w:jc w:val="left"/>
      </w:pPr>
      <w:r>
        <w:rPr>
          <w:rFonts w:ascii="Times New Roman" w:hAnsi="Times New Roman"/>
          <w:b/>
          <w:i w:val="0"/>
          <w:sz w:val="21"/>
        </w:rPr>
        <w:t>F. Feature Importance and SHAP Analysis</w:t>
      </w:r>
    </w:p>
    <w:p>
      <w:pPr>
        <w:spacing w:before="0" w:after="40"/>
        <w:ind w:firstLine="288"/>
        <w:jc w:val="both"/>
      </w:pPr>
      <w:r>
        <w:rPr>
          <w:rFonts w:ascii="Times New Roman" w:hAnsi="Times New Roman"/>
          <w:b w:val="0"/>
          <w:i w:val="0"/>
          <w:sz w:val="21"/>
        </w:rPr>
        <w:t>LightGBM feature importance analysis reveals the top predictive features: `tcn_prob` (the TCN's own output probability, confirming the value of stacking), `garch_vol`, rolling return metrics (5-day, 10-day), ATR-normalised volatility, and `daily_sentiment_score`. Traditional momentum indicators (RSI, MACD) contribute relatively less, suggesting that volatility-aware and temporal features dominate in both Indian and US equity markets.</w:t>
      </w:r>
    </w:p>
    <w:p>
      <w:pPr>
        <w:spacing w:before="0" w:after="40"/>
        <w:ind w:firstLine="288"/>
        <w:jc w:val="both"/>
      </w:pPr>
      <w:r>
        <w:rPr>
          <w:rFonts w:ascii="Times New Roman" w:hAnsi="Times New Roman"/>
          <w:b w:val="0"/>
          <w:i w:val="0"/>
          <w:sz w:val="21"/>
        </w:rPr>
        <w:t xml:space="preserve">The SHAP summary plots (generated per-ticker at `output/{TICKER}_shap_summary.png`) make this attribution explicit: each feature is shown with its distribution of SHAP values across 1,000 sample predictions, with colour encoding showing the raw feature value, allowing the reviewer to immediately understand, for example, that </w:t>
      </w:r>
      <w:r>
        <w:rPr>
          <w:rFonts w:ascii="Times New Roman" w:hAnsi="Times New Roman"/>
          <w:b w:val="0"/>
          <w:i/>
          <w:sz w:val="21"/>
        </w:rPr>
        <w:t>high garch_vol tends to push predictions towards SELL</w:t>
      </w:r>
      <w:r>
        <w:rPr>
          <w:rFonts w:ascii="Times New Roman" w:hAnsi="Times New Roman"/>
          <w:b w:val="0"/>
          <w:i w:val="0"/>
          <w:sz w:val="21"/>
        </w:rPr>
        <w:t xml:space="preserve"> (negative SHAP) while </w:t>
      </w:r>
      <w:r>
        <w:rPr>
          <w:rFonts w:ascii="Times New Roman" w:hAnsi="Times New Roman"/>
          <w:b w:val="0"/>
          <w:i/>
          <w:sz w:val="21"/>
        </w:rPr>
        <w:t>high tcn_prob pushes towards BUY</w:t>
      </w:r>
      <w:r>
        <w:rPr>
          <w:rFonts w:ascii="Times New Roman" w:hAnsi="Times New Roman"/>
          <w:b w:val="0"/>
          <w:i w:val="0"/>
          <w:sz w:val="21"/>
        </w:rPr>
        <w:t xml:space="preserve"> (positive SHAP).</w:t>
      </w:r>
    </w:p>
    <w:p>
      <w:pPr>
        <w:spacing w:before="120" w:after="40"/>
        <w:jc w:val="left"/>
      </w:pPr>
      <w:r>
        <w:rPr>
          <w:rFonts w:ascii="Times New Roman" w:hAnsi="Times New Roman"/>
          <w:b/>
          <w:i w:val="0"/>
          <w:sz w:val="21"/>
        </w:rPr>
        <w:t>G. Multi-Horizon Prediction Performance</w:t>
      </w:r>
    </w:p>
    <w:p>
      <w:pPr>
        <w:spacing w:before="0" w:after="40"/>
        <w:ind w:firstLine="288"/>
        <w:jc w:val="both"/>
      </w:pPr>
      <w:r>
        <w:rPr>
          <w:rFonts w:ascii="Times New Roman" w:hAnsi="Times New Roman"/>
          <w:b w:val="0"/>
          <w:i w:val="0"/>
          <w:sz w:val="21"/>
        </w:rPr>
      </w:r>
      <w:r>
        <w:rPr>
          <w:rFonts w:ascii="Times New Roman" w:hAnsi="Times New Roman"/>
          <w:b/>
          <w:i w:val="0"/>
          <w:sz w:val="21"/>
        </w:rPr>
        <w:t>TABLE XI. Multi-Horizon Prediction Performance (Proposed Ensemble)</w:t>
      </w:r>
      <w:r>
        <w:rPr>
          <w:rFonts w:ascii="Times New Roman" w:hAnsi="Times New Roman"/>
          <w:b w:val="0"/>
          <w:i w:val="0"/>
          <w:sz w:val="21"/>
        </w:rPr>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
              <w:rPr>
                <w:rFonts w:ascii="Times New Roman" w:hAnsi="Times New Roman"/>
                <w:b/>
                <w:sz w:val="18"/>
              </w:rPr>
              <w:t>Horizon</w:t>
            </w:r>
          </w:p>
        </w:tc>
        <w:tc>
          <w:tcPr>
            <w:tcW w:type="dxa" w:w="2088"/>
          </w:tcPr>
          <w:p>
            <w:pPr>
              <w:jc w:val="center"/>
            </w:pPr>
            <w:r/>
            <w:r>
              <w:rPr>
                <w:rFonts w:ascii="Times New Roman" w:hAnsi="Times New Roman"/>
                <w:b/>
                <w:sz w:val="18"/>
              </w:rPr>
              <w:t>Accuracy</w:t>
            </w:r>
          </w:p>
        </w:tc>
        <w:tc>
          <w:tcPr>
            <w:tcW w:type="dxa" w:w="2088"/>
          </w:tcPr>
          <w:p>
            <w:pPr>
              <w:jc w:val="center"/>
            </w:pPr>
            <w:r/>
            <w:r>
              <w:rPr>
                <w:rFonts w:ascii="Times New Roman" w:hAnsi="Times New Roman"/>
                <w:b/>
                <w:sz w:val="18"/>
              </w:rPr>
              <w:t>Recall</w:t>
            </w:r>
          </w:p>
        </w:tc>
        <w:tc>
          <w:tcPr>
            <w:tcW w:type="dxa" w:w="2088"/>
          </w:tcPr>
          <w:p>
            <w:pPr>
              <w:jc w:val="center"/>
            </w:pPr>
            <w:r/>
            <w:r>
              <w:rPr>
                <w:rFonts w:ascii="Times New Roman" w:hAnsi="Times New Roman"/>
                <w:b/>
                <w:sz w:val="18"/>
              </w:rPr>
              <w:t>F1 Score</w:t>
            </w:r>
          </w:p>
        </w:tc>
        <w:tc>
          <w:tcPr>
            <w:tcW w:type="dxa" w:w="2088"/>
          </w:tcPr>
          <w:p>
            <w:pPr>
              <w:jc w:val="center"/>
            </w:pPr>
            <w:r/>
            <w:r>
              <w:rPr>
                <w:rFonts w:ascii="Times New Roman" w:hAnsi="Times New Roman"/>
                <w:b/>
                <w:sz w:val="18"/>
              </w:rPr>
              <w:t>Notes</w:t>
            </w:r>
          </w:p>
        </w:tc>
      </w:tr>
      <w:tr>
        <w:tc>
          <w:tcPr>
            <w:tcW w:type="dxa" w:w="2088"/>
          </w:tcPr>
          <w:p>
            <w:pPr>
              <w:jc w:val="center"/>
            </w:pPr>
            <w:r/>
            <w:r>
              <w:rPr>
                <w:rFonts w:ascii="Times New Roman" w:hAnsi="Times New Roman"/>
                <w:sz w:val="18"/>
              </w:rPr>
              <w:t>1-Day</w:t>
            </w:r>
          </w:p>
        </w:tc>
        <w:tc>
          <w:tcPr>
            <w:tcW w:type="dxa" w:w="2088"/>
          </w:tcPr>
          <w:p>
            <w:pPr>
              <w:jc w:val="center"/>
            </w:pPr>
            <w:r/>
            <w:r>
              <w:rPr>
                <w:rFonts w:ascii="Times New Roman" w:hAnsi="Times New Roman"/>
                <w:sz w:val="18"/>
              </w:rPr>
              <w:t>53.1%</w:t>
            </w:r>
          </w:p>
        </w:tc>
        <w:tc>
          <w:tcPr>
            <w:tcW w:type="dxa" w:w="2088"/>
          </w:tcPr>
          <w:p>
            <w:pPr>
              <w:jc w:val="center"/>
            </w:pPr>
            <w:r/>
            <w:r>
              <w:rPr>
                <w:rFonts w:ascii="Times New Roman" w:hAnsi="Times New Roman"/>
                <w:sz w:val="18"/>
              </w:rPr>
              <w:t>94.2%</w:t>
            </w:r>
          </w:p>
        </w:tc>
        <w:tc>
          <w:tcPr>
            <w:tcW w:type="dxa" w:w="2088"/>
          </w:tcPr>
          <w:p>
            <w:pPr>
              <w:jc w:val="center"/>
            </w:pPr>
            <w:r/>
            <w:r>
              <w:rPr>
                <w:rFonts w:ascii="Times New Roman" w:hAnsi="Times New Roman"/>
                <w:sz w:val="18"/>
              </w:rPr>
              <w:t>65.8%</w:t>
            </w:r>
          </w:p>
        </w:tc>
        <w:tc>
          <w:tcPr>
            <w:tcW w:type="dxa" w:w="2088"/>
          </w:tcPr>
          <w:p>
            <w:pPr>
              <w:jc w:val="center"/>
            </w:pPr>
            <w:r/>
            <w:r>
              <w:rPr>
                <w:rFonts w:ascii="Times New Roman" w:hAnsi="Times New Roman"/>
                <w:sz w:val="18"/>
              </w:rPr>
              <w:t>High noise, lower F1</w:t>
            </w:r>
          </w:p>
        </w:tc>
      </w:tr>
      <w:tr>
        <w:tc>
          <w:tcPr>
            <w:tcW w:type="dxa" w:w="2088"/>
          </w:tcPr>
          <w:p>
            <w:pPr>
              <w:jc w:val="center"/>
            </w:pPr>
            <w:r/>
            <w:r>
              <w:rPr>
                <w:rFonts w:ascii="Times New Roman" w:hAnsi="Times New Roman"/>
                <w:sz w:val="18"/>
              </w:rPr>
              <w:t>3-Day</w:t>
            </w:r>
          </w:p>
        </w:tc>
        <w:tc>
          <w:tcPr>
            <w:tcW w:type="dxa" w:w="2088"/>
          </w:tcPr>
          <w:p>
            <w:pPr>
              <w:jc w:val="center"/>
            </w:pPr>
            <w:r/>
            <w:r>
              <w:rPr>
                <w:rFonts w:ascii="Times New Roman" w:hAnsi="Times New Roman"/>
                <w:sz w:val="18"/>
              </w:rPr>
              <w:t>51.9%</w:t>
            </w:r>
          </w:p>
        </w:tc>
        <w:tc>
          <w:tcPr>
            <w:tcW w:type="dxa" w:w="2088"/>
          </w:tcPr>
          <w:p>
            <w:pPr>
              <w:jc w:val="center"/>
            </w:pPr>
            <w:r/>
            <w:r>
              <w:rPr>
                <w:rFonts w:ascii="Times New Roman" w:hAnsi="Times New Roman"/>
                <w:sz w:val="18"/>
              </w:rPr>
              <w:t>97.1%</w:t>
            </w:r>
          </w:p>
        </w:tc>
        <w:tc>
          <w:tcPr>
            <w:tcW w:type="dxa" w:w="2088"/>
          </w:tcPr>
          <w:p>
            <w:pPr>
              <w:jc w:val="center"/>
            </w:pPr>
            <w:r/>
            <w:r>
              <w:rPr>
                <w:rFonts w:ascii="Times New Roman" w:hAnsi="Times New Roman"/>
                <w:sz w:val="18"/>
              </w:rPr>
              <w:t>67.4%</w:t>
            </w:r>
          </w:p>
        </w:tc>
        <w:tc>
          <w:tcPr>
            <w:tcW w:type="dxa" w:w="2088"/>
          </w:tcPr>
          <w:p>
            <w:pPr>
              <w:jc w:val="center"/>
            </w:pPr>
            <w:r/>
            <w:r>
              <w:rPr>
                <w:rFonts w:ascii="Times New Roman" w:hAnsi="Times New Roman"/>
                <w:sz w:val="18"/>
              </w:rPr>
              <w:t>Noisy target variable</w:t>
            </w:r>
          </w:p>
        </w:tc>
      </w:tr>
      <w:tr>
        <w:tc>
          <w:tcPr>
            <w:tcW w:type="dxa" w:w="2088"/>
          </w:tcPr>
          <w:p>
            <w:pPr>
              <w:jc w:val="center"/>
            </w:pPr>
            <w:r/>
            <w:r>
              <w:rPr>
                <w:rFonts w:ascii="Times New Roman" w:hAnsi="Times New Roman"/>
                <w:sz w:val="18"/>
              </w:rPr>
              <w:t>5-Day</w:t>
            </w:r>
          </w:p>
        </w:tc>
        <w:tc>
          <w:tcPr>
            <w:tcW w:type="dxa" w:w="2088"/>
          </w:tcPr>
          <w:p>
            <w:pPr>
              <w:jc w:val="center"/>
            </w:pPr>
            <w:r/>
            <w:r>
              <w:rPr>
                <w:rFonts w:ascii="Times New Roman" w:hAnsi="Times New Roman"/>
                <w:sz w:val="18"/>
              </w:rPr>
              <w:t>52.4%</w:t>
            </w:r>
          </w:p>
        </w:tc>
        <w:tc>
          <w:tcPr>
            <w:tcW w:type="dxa" w:w="2088"/>
          </w:tcPr>
          <w:p>
            <w:pPr>
              <w:jc w:val="center"/>
            </w:pPr>
            <w:r/>
            <w:r>
              <w:rPr>
                <w:rFonts w:ascii="Times New Roman" w:hAnsi="Times New Roman"/>
                <w:sz w:val="18"/>
              </w:rPr>
              <w:t>98.5%</w:t>
            </w:r>
          </w:p>
        </w:tc>
        <w:tc>
          <w:tcPr>
            <w:tcW w:type="dxa" w:w="2088"/>
          </w:tcPr>
          <w:p>
            <w:pPr>
              <w:jc w:val="center"/>
            </w:pPr>
            <w:r/>
            <w:r>
              <w:rPr>
                <w:rFonts w:ascii="Times New Roman" w:hAnsi="Times New Roman"/>
                <w:sz w:val="18"/>
              </w:rPr>
              <w:t>68.1%</w:t>
            </w:r>
          </w:p>
        </w:tc>
        <w:tc>
          <w:tcPr>
            <w:tcW w:type="dxa" w:w="2088"/>
          </w:tcPr>
          <w:p>
            <w:pPr>
              <w:jc w:val="center"/>
            </w:pPr>
            <w:r/>
            <w:r>
              <w:rPr>
                <w:rFonts w:ascii="Times New Roman" w:hAnsi="Times New Roman"/>
                <w:sz w:val="18"/>
              </w:rPr>
              <w:t>Optimal balance</w:t>
            </w:r>
          </w:p>
        </w:tc>
      </w:tr>
      <w:tr>
        <w:tc>
          <w:tcPr>
            <w:tcW w:type="dxa" w:w="2088"/>
          </w:tcPr>
          <w:p>
            <w:pPr>
              <w:jc w:val="center"/>
            </w:pPr>
            <w:r/>
            <w:r>
              <w:rPr>
                <w:rFonts w:ascii="Times New Roman" w:hAnsi="Times New Roman"/>
                <w:sz w:val="18"/>
              </w:rPr>
              <w:t>10-Day</w:t>
            </w:r>
          </w:p>
        </w:tc>
        <w:tc>
          <w:tcPr>
            <w:tcW w:type="dxa" w:w="2088"/>
          </w:tcPr>
          <w:p>
            <w:pPr>
              <w:jc w:val="center"/>
            </w:pPr>
            <w:r/>
            <w:r>
              <w:rPr>
                <w:rFonts w:ascii="Times New Roman" w:hAnsi="Times New Roman"/>
                <w:sz w:val="18"/>
              </w:rPr>
              <w:t>51.4%</w:t>
            </w:r>
          </w:p>
        </w:tc>
        <w:tc>
          <w:tcPr>
            <w:tcW w:type="dxa" w:w="2088"/>
          </w:tcPr>
          <w:p>
            <w:pPr>
              <w:jc w:val="center"/>
            </w:pPr>
            <w:r/>
            <w:r>
              <w:rPr>
                <w:rFonts w:ascii="Times New Roman" w:hAnsi="Times New Roman"/>
                <w:sz w:val="18"/>
              </w:rPr>
              <w:t>97.8%</w:t>
            </w:r>
          </w:p>
        </w:tc>
        <w:tc>
          <w:tcPr>
            <w:tcW w:type="dxa" w:w="2088"/>
          </w:tcPr>
          <w:p>
            <w:pPr>
              <w:jc w:val="center"/>
            </w:pPr>
            <w:r/>
            <w:r>
              <w:rPr>
                <w:rFonts w:ascii="Times New Roman" w:hAnsi="Times New Roman"/>
                <w:sz w:val="18"/>
              </w:rPr>
              <w:t>67.2%</w:t>
            </w:r>
          </w:p>
        </w:tc>
        <w:tc>
          <w:tcPr>
            <w:tcW w:type="dxa" w:w="2088"/>
          </w:tcPr>
          <w:p>
            <w:pPr>
              <w:jc w:val="center"/>
            </w:pPr>
            <w:r/>
            <w:r>
              <w:rPr>
                <w:rFonts w:ascii="Times New Roman" w:hAnsi="Times New Roman"/>
                <w:sz w:val="18"/>
              </w:rPr>
              <w:t>Target too diluted</w:t>
            </w:r>
          </w:p>
        </w:tc>
      </w:tr>
    </w:tbl>
    <w:p>
      <w:pPr>
        <w:spacing w:after="80"/>
      </w:pPr>
    </w:p>
    <w:p>
      <w:pPr>
        <w:spacing w:before="0" w:after="40"/>
        <w:ind w:firstLine="288"/>
        <w:jc w:val="both"/>
      </w:pPr>
      <w:r>
        <w:rPr>
          <w:rFonts w:ascii="Times New Roman" w:hAnsi="Times New Roman"/>
          <w:b w:val="0"/>
          <w:i w:val="0"/>
          <w:sz w:val="21"/>
        </w:rPr>
        <w:t>The 5-day horizon achieves the best F1-Score balance. The 1-day horizon shows higher raw accuracy but lower recall, while the 3-day window suffers from excessive noise in the target variable.</w:t>
      </w:r>
    </w:p>
    <w:p>
      <w:pPr>
        <w:spacing w:before="120" w:after="40"/>
        <w:jc w:val="left"/>
      </w:pPr>
      <w:r>
        <w:rPr>
          <w:rFonts w:ascii="Times New Roman" w:hAnsi="Times New Roman"/>
          <w:b/>
          <w:i w:val="0"/>
          <w:sz w:val="21"/>
        </w:rPr>
        <w:t>H. Financial Backtest Performance</w:t>
      </w:r>
    </w:p>
    <w:p>
      <w:pPr>
        <w:spacing w:before="0" w:after="40"/>
        <w:ind w:firstLine="288"/>
        <w:jc w:val="both"/>
      </w:pPr>
      <w:r>
        <w:rPr>
          <w:rFonts w:ascii="Times New Roman" w:hAnsi="Times New Roman"/>
          <w:b w:val="0"/>
          <w:i w:val="0"/>
          <w:sz w:val="21"/>
        </w:rPr>
      </w:r>
      <w:r>
        <w:rPr>
          <w:rFonts w:ascii="Times New Roman" w:hAnsi="Times New Roman"/>
          <w:b/>
          <w:i w:val="0"/>
          <w:sz w:val="21"/>
        </w:rPr>
        <w:t>TABLE XII. Portfolio Performance vs. Buy &amp; Hold Benchmark (252-Day Out-of-Sample)</w:t>
      </w:r>
      <w:r>
        <w:rPr>
          <w:rFonts w:ascii="Times New Roman" w:hAnsi="Times New Roman"/>
          <w:b w:val="0"/>
          <w:i w:val="0"/>
          <w:sz w:val="21"/>
        </w:rPr>
      </w:r>
    </w:p>
    <w:tbl>
      <w:tblPr>
        <w:tblStyle w:val="TableGrid"/>
        <w:tblW w:type="auto" w:w="0"/>
        <w:tblLook w:firstColumn="1" w:firstRow="1" w:lastColumn="0" w:lastRow="0" w:noHBand="0" w:noVBand="1" w:val="04A0"/>
      </w:tblPr>
      <w:tblGrid>
        <w:gridCol w:w="3480"/>
        <w:gridCol w:w="3480"/>
        <w:gridCol w:w="3480"/>
      </w:tblGrid>
      <w:tr>
        <w:tc>
          <w:tcPr>
            <w:tcW w:type="dxa" w:w="3480"/>
          </w:tcPr>
          <w:p>
            <w:pPr>
              <w:jc w:val="center"/>
            </w:pPr>
            <w:r/>
            <w:r>
              <w:rPr>
                <w:rFonts w:ascii="Times New Roman" w:hAnsi="Times New Roman"/>
                <w:b/>
                <w:sz w:val="18"/>
              </w:rPr>
              <w:t>Metric</w:t>
            </w:r>
          </w:p>
        </w:tc>
        <w:tc>
          <w:tcPr>
            <w:tcW w:type="dxa" w:w="3480"/>
          </w:tcPr>
          <w:p>
            <w:pPr>
              <w:jc w:val="center"/>
            </w:pPr>
            <w:r/>
            <w:r>
              <w:rPr>
                <w:rFonts w:ascii="Times New Roman" w:hAnsi="Times New Roman"/>
                <w:b/>
                <w:sz w:val="18"/>
              </w:rPr>
              <w:t>Proposed Ensemble</w:t>
            </w:r>
          </w:p>
        </w:tc>
        <w:tc>
          <w:tcPr>
            <w:tcW w:type="dxa" w:w="3480"/>
          </w:tcPr>
          <w:p>
            <w:pPr>
              <w:jc w:val="center"/>
            </w:pPr>
            <w:r/>
            <w:r>
              <w:rPr>
                <w:rFonts w:ascii="Times New Roman" w:hAnsi="Times New Roman"/>
                <w:b/>
                <w:sz w:val="18"/>
              </w:rPr>
              <w:t>Buy &amp; Hold</w:t>
            </w:r>
          </w:p>
        </w:tc>
      </w:tr>
      <w:tr>
        <w:tc>
          <w:tcPr>
            <w:tcW w:type="dxa" w:w="3480"/>
          </w:tcPr>
          <w:p>
            <w:pPr>
              <w:jc w:val="center"/>
            </w:pPr>
            <w:r/>
            <w:r>
              <w:rPr>
                <w:rFonts w:ascii="Times New Roman" w:hAnsi="Times New Roman"/>
                <w:sz w:val="18"/>
              </w:rPr>
              <w:t>Total Return</w:t>
            </w:r>
          </w:p>
        </w:tc>
        <w:tc>
          <w:tcPr>
            <w:tcW w:type="dxa" w:w="3480"/>
          </w:tcPr>
          <w:p>
            <w:pPr>
              <w:jc w:val="center"/>
            </w:pPr>
            <w:r/>
            <w:r>
              <w:rPr>
                <w:rFonts w:ascii="Times New Roman" w:hAnsi="Times New Roman"/>
                <w:sz w:val="18"/>
              </w:rPr>
              <w:t>+7.56%</w:t>
            </w:r>
          </w:p>
        </w:tc>
        <w:tc>
          <w:tcPr>
            <w:tcW w:type="dxa" w:w="3480"/>
          </w:tcPr>
          <w:p>
            <w:pPr>
              <w:jc w:val="center"/>
            </w:pPr>
            <w:r/>
            <w:r>
              <w:rPr>
                <w:rFonts w:ascii="Times New Roman" w:hAnsi="Times New Roman"/>
                <w:sz w:val="18"/>
              </w:rPr>
              <w:t>−8.7%</w:t>
            </w:r>
          </w:p>
        </w:tc>
      </w:tr>
      <w:tr>
        <w:tc>
          <w:tcPr>
            <w:tcW w:type="dxa" w:w="3480"/>
          </w:tcPr>
          <w:p>
            <w:pPr>
              <w:jc w:val="center"/>
            </w:pPr>
            <w:r/>
            <w:r>
              <w:rPr>
                <w:rFonts w:ascii="Times New Roman" w:hAnsi="Times New Roman"/>
                <w:sz w:val="18"/>
              </w:rPr>
              <w:t>Sharpe Ratio</w:t>
            </w:r>
          </w:p>
        </w:tc>
        <w:tc>
          <w:tcPr>
            <w:tcW w:type="dxa" w:w="3480"/>
          </w:tcPr>
          <w:p>
            <w:pPr>
              <w:jc w:val="center"/>
            </w:pPr>
            <w:r/>
            <w:r>
              <w:rPr>
                <w:rFonts w:ascii="Times New Roman" w:hAnsi="Times New Roman"/>
                <w:sz w:val="18"/>
              </w:rPr>
              <w:t>1.678</w:t>
            </w:r>
          </w:p>
        </w:tc>
        <w:tc>
          <w:tcPr>
            <w:tcW w:type="dxa" w:w="3480"/>
          </w:tcPr>
          <w:p>
            <w:pPr>
              <w:jc w:val="center"/>
            </w:pPr>
            <w:r/>
            <w:r>
              <w:rPr>
                <w:rFonts w:ascii="Times New Roman" w:hAnsi="Times New Roman"/>
                <w:sz w:val="18"/>
              </w:rPr>
              <w:t>−0.42</w:t>
            </w:r>
          </w:p>
        </w:tc>
      </w:tr>
      <w:tr>
        <w:tc>
          <w:tcPr>
            <w:tcW w:type="dxa" w:w="3480"/>
          </w:tcPr>
          <w:p>
            <w:pPr>
              <w:jc w:val="center"/>
            </w:pPr>
            <w:r/>
            <w:r>
              <w:rPr>
                <w:rFonts w:ascii="Times New Roman" w:hAnsi="Times New Roman"/>
                <w:sz w:val="18"/>
              </w:rPr>
              <w:t>Max Drawdown</w:t>
            </w:r>
          </w:p>
        </w:tc>
        <w:tc>
          <w:tcPr>
            <w:tcW w:type="dxa" w:w="3480"/>
          </w:tcPr>
          <w:p>
            <w:pPr>
              <w:jc w:val="center"/>
            </w:pPr>
            <w:r/>
            <w:r>
              <w:rPr>
                <w:rFonts w:ascii="Times New Roman" w:hAnsi="Times New Roman"/>
                <w:sz w:val="18"/>
              </w:rPr>
              <w:t>−1.58%</w:t>
            </w:r>
          </w:p>
        </w:tc>
        <w:tc>
          <w:tcPr>
            <w:tcW w:type="dxa" w:w="3480"/>
          </w:tcPr>
          <w:p>
            <w:pPr>
              <w:jc w:val="center"/>
            </w:pPr>
            <w:r/>
            <w:r>
              <w:rPr>
                <w:rFonts w:ascii="Times New Roman" w:hAnsi="Times New Roman"/>
                <w:sz w:val="18"/>
              </w:rPr>
              <w:t>−20.6%</w:t>
            </w:r>
          </w:p>
        </w:tc>
      </w:tr>
      <w:tr>
        <w:tc>
          <w:tcPr>
            <w:tcW w:type="dxa" w:w="3480"/>
          </w:tcPr>
          <w:p>
            <w:pPr>
              <w:jc w:val="center"/>
            </w:pPr>
            <w:r/>
            <w:r>
              <w:rPr>
                <w:rFonts w:ascii="Times New Roman" w:hAnsi="Times New Roman"/>
                <w:sz w:val="18"/>
              </w:rPr>
              <w:t>Annualised Volatility</w:t>
            </w:r>
          </w:p>
        </w:tc>
        <w:tc>
          <w:tcPr>
            <w:tcW w:type="dxa" w:w="3480"/>
          </w:tcPr>
          <w:p>
            <w:pPr>
              <w:jc w:val="center"/>
            </w:pPr>
            <w:r/>
            <w:r>
              <w:rPr>
                <w:rFonts w:ascii="Times New Roman" w:hAnsi="Times New Roman"/>
                <w:sz w:val="18"/>
              </w:rPr>
              <w:t>14.2%</w:t>
            </w:r>
          </w:p>
        </w:tc>
        <w:tc>
          <w:tcPr>
            <w:tcW w:type="dxa" w:w="3480"/>
          </w:tcPr>
          <w:p>
            <w:pPr>
              <w:jc w:val="center"/>
            </w:pPr>
            <w:r/>
            <w:r>
              <w:rPr>
                <w:rFonts w:ascii="Times New Roman" w:hAnsi="Times New Roman"/>
                <w:sz w:val="18"/>
              </w:rPr>
              <w:t>20.1%</w:t>
            </w:r>
          </w:p>
        </w:tc>
      </w:tr>
      <w:tr>
        <w:tc>
          <w:tcPr>
            <w:tcW w:type="dxa" w:w="3480"/>
          </w:tcPr>
          <w:p>
            <w:pPr>
              <w:jc w:val="center"/>
            </w:pPr>
            <w:r/>
            <w:r>
              <w:rPr>
                <w:rFonts w:ascii="Times New Roman" w:hAnsi="Times New Roman"/>
                <w:sz w:val="18"/>
              </w:rPr>
              <w:t>Win Rate</w:t>
            </w:r>
          </w:p>
        </w:tc>
        <w:tc>
          <w:tcPr>
            <w:tcW w:type="dxa" w:w="3480"/>
          </w:tcPr>
          <w:p>
            <w:pPr>
              <w:jc w:val="center"/>
            </w:pPr>
            <w:r/>
            <w:r>
              <w:rPr>
                <w:rFonts w:ascii="Times New Roman" w:hAnsi="Times New Roman"/>
                <w:sz w:val="18"/>
              </w:rPr>
              <w:t>25.4%</w:t>
            </w:r>
          </w:p>
        </w:tc>
        <w:tc>
          <w:tcPr>
            <w:tcW w:type="dxa" w:w="3480"/>
          </w:tcPr>
          <w:p>
            <w:pPr>
              <w:jc w:val="center"/>
            </w:pPr>
            <w:r/>
            <w:r>
              <w:rPr>
                <w:rFonts w:ascii="Times New Roman" w:hAnsi="Times New Roman"/>
                <w:sz w:val="18"/>
              </w:rPr>
              <w:t>N/A</w:t>
            </w:r>
          </w:p>
        </w:tc>
      </w:tr>
    </w:tbl>
    <w:p>
      <w:pPr>
        <w:spacing w:after="80"/>
      </w:pPr>
    </w:p>
    <w:p>
      <w:pPr>
        <w:spacing w:before="0" w:after="40"/>
        <w:ind w:firstLine="288"/>
        <w:jc w:val="both"/>
      </w:pPr>
      <w:r>
        <w:rPr>
          <w:rFonts w:ascii="Times New Roman" w:hAnsi="Times New Roman"/>
          <w:b w:val="0"/>
          <w:i w:val="0"/>
          <w:sz w:val="21"/>
        </w:rPr>
        <w:t>During the out-of-sample period, the test asset experienced a bearish trend resulting in a −8.7% loss for a passive Buy &amp; Hold investor. The ensemble, using ATR-based stop-losses and inverse-volatility position sizing, achieved +7.56% with dramatically lower maximum drawdown.</w:t>
      </w:r>
    </w:p>
    <w:p>
      <w:pPr>
        <w:spacing w:before="120" w:after="40"/>
        <w:jc w:val="left"/>
      </w:pPr>
      <w:r>
        <w:rPr>
          <w:rFonts w:ascii="Times New Roman" w:hAnsi="Times New Roman"/>
          <w:b/>
          <w:i w:val="0"/>
          <w:sz w:val="21"/>
        </w:rPr>
        <w:t>I. Cross-Asset Generalizability</w:t>
      </w:r>
    </w:p>
    <w:p>
      <w:pPr>
        <w:spacing w:before="0" w:after="40"/>
        <w:ind w:firstLine="288"/>
        <w:jc w:val="both"/>
      </w:pPr>
      <w:r>
        <w:rPr>
          <w:rFonts w:ascii="Times New Roman" w:hAnsi="Times New Roman"/>
          <w:b w:val="0"/>
          <w:i w:val="0"/>
          <w:sz w:val="21"/>
        </w:rPr>
      </w:r>
      <w:r>
        <w:rPr>
          <w:rFonts w:ascii="Times New Roman" w:hAnsi="Times New Roman"/>
          <w:b/>
          <w:i w:val="0"/>
          <w:sz w:val="21"/>
        </w:rPr>
        <w:t>TABLE XIII. Cross-Asset Generalizability Results (Out-of-Sample)</w:t>
      </w:r>
      <w:r>
        <w:rPr>
          <w:rFonts w:ascii="Times New Roman" w:hAnsi="Times New Roman"/>
          <w:b w:val="0"/>
          <w:i w:val="0"/>
          <w:sz w:val="21"/>
        </w:rPr>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
              <w:rPr>
                <w:rFonts w:ascii="Times New Roman" w:hAnsi="Times New Roman"/>
                <w:b/>
                <w:sz w:val="18"/>
              </w:rPr>
              <w:t>Ticker</w:t>
            </w:r>
          </w:p>
        </w:tc>
        <w:tc>
          <w:tcPr>
            <w:tcW w:type="dxa" w:w="1740"/>
          </w:tcPr>
          <w:p>
            <w:pPr>
              <w:jc w:val="center"/>
            </w:pPr>
            <w:r/>
            <w:r>
              <w:rPr>
                <w:rFonts w:ascii="Times New Roman" w:hAnsi="Times New Roman"/>
                <w:b/>
                <w:sz w:val="18"/>
              </w:rPr>
              <w:t>Sector</w:t>
            </w:r>
          </w:p>
        </w:tc>
        <w:tc>
          <w:tcPr>
            <w:tcW w:type="dxa" w:w="1740"/>
          </w:tcPr>
          <w:p>
            <w:pPr>
              <w:jc w:val="center"/>
            </w:pPr>
            <w:r/>
            <w:r>
              <w:rPr>
                <w:rFonts w:ascii="Times New Roman" w:hAnsi="Times New Roman"/>
                <w:b/>
                <w:sz w:val="18"/>
              </w:rPr>
              <w:t>Exchange</w:t>
            </w:r>
          </w:p>
        </w:tc>
        <w:tc>
          <w:tcPr>
            <w:tcW w:type="dxa" w:w="1740"/>
          </w:tcPr>
          <w:p>
            <w:pPr>
              <w:jc w:val="center"/>
            </w:pPr>
            <w:r/>
            <w:r>
              <w:rPr>
                <w:rFonts w:ascii="Times New Roman" w:hAnsi="Times New Roman"/>
                <w:b/>
                <w:sz w:val="18"/>
              </w:rPr>
              <w:t>Backtest Sharpe</w:t>
            </w:r>
          </w:p>
        </w:tc>
        <w:tc>
          <w:tcPr>
            <w:tcW w:type="dxa" w:w="1740"/>
          </w:tcPr>
          <w:p>
            <w:pPr>
              <w:jc w:val="center"/>
            </w:pPr>
            <w:r/>
            <w:r>
              <w:rPr>
                <w:rFonts w:ascii="Times New Roman" w:hAnsi="Times New Roman"/>
                <w:b/>
                <w:sz w:val="18"/>
              </w:rPr>
              <w:t>Return</w:t>
            </w:r>
          </w:p>
        </w:tc>
        <w:tc>
          <w:tcPr>
            <w:tcW w:type="dxa" w:w="1740"/>
          </w:tcPr>
          <w:p>
            <w:pPr>
              <w:jc w:val="center"/>
            </w:pPr>
            <w:r/>
            <w:r>
              <w:rPr>
                <w:rFonts w:ascii="Times New Roman" w:hAnsi="Times New Roman"/>
                <w:b/>
                <w:sz w:val="18"/>
              </w:rPr>
              <w:t>Max DD</w:t>
            </w:r>
          </w:p>
        </w:tc>
      </w:tr>
      <w:tr>
        <w:tc>
          <w:tcPr>
            <w:tcW w:type="dxa" w:w="1740"/>
          </w:tcPr>
          <w:p>
            <w:pPr>
              <w:jc w:val="center"/>
            </w:pPr>
            <w:r/>
            <w:r>
              <w:rPr>
                <w:rFonts w:ascii="Times New Roman" w:hAnsi="Times New Roman"/>
                <w:sz w:val="18"/>
              </w:rPr>
              <w:t>RELIANCE.NS</w:t>
            </w:r>
          </w:p>
        </w:tc>
        <w:tc>
          <w:tcPr>
            <w:tcW w:type="dxa" w:w="1740"/>
          </w:tcPr>
          <w:p>
            <w:pPr>
              <w:jc w:val="center"/>
            </w:pPr>
            <w:r/>
            <w:r>
              <w:rPr>
                <w:rFonts w:ascii="Times New Roman" w:hAnsi="Times New Roman"/>
                <w:sz w:val="18"/>
              </w:rPr>
              <w:t>Energy &amp; Conglomerate</w:t>
            </w:r>
          </w:p>
        </w:tc>
        <w:tc>
          <w:tcPr>
            <w:tcW w:type="dxa" w:w="1740"/>
          </w:tcPr>
          <w:p>
            <w:pPr>
              <w:jc w:val="center"/>
            </w:pPr>
            <w:r/>
            <w:r>
              <w:rPr>
                <w:rFonts w:ascii="Times New Roman" w:hAnsi="Times New Roman"/>
                <w:sz w:val="18"/>
              </w:rPr>
              <w:t>NSE</w:t>
            </w:r>
          </w:p>
        </w:tc>
        <w:tc>
          <w:tcPr>
            <w:tcW w:type="dxa" w:w="1740"/>
          </w:tcPr>
          <w:p>
            <w:pPr>
              <w:jc w:val="center"/>
            </w:pPr>
            <w:r/>
            <w:r>
              <w:rPr>
                <w:rFonts w:ascii="Times New Roman" w:hAnsi="Times New Roman"/>
                <w:sz w:val="18"/>
              </w:rPr>
              <w:t>1.678</w:t>
            </w:r>
          </w:p>
        </w:tc>
        <w:tc>
          <w:tcPr>
            <w:tcW w:type="dxa" w:w="1740"/>
          </w:tcPr>
          <w:p>
            <w:pPr>
              <w:jc w:val="center"/>
            </w:pPr>
            <w:r/>
            <w:r>
              <w:rPr>
                <w:rFonts w:ascii="Times New Roman" w:hAnsi="Times New Roman"/>
                <w:sz w:val="18"/>
              </w:rPr>
              <w:t>+7.56%</w:t>
            </w:r>
          </w:p>
        </w:tc>
        <w:tc>
          <w:tcPr>
            <w:tcW w:type="dxa" w:w="1740"/>
          </w:tcPr>
          <w:p>
            <w:pPr>
              <w:jc w:val="center"/>
            </w:pPr>
            <w:r/>
            <w:r>
              <w:rPr>
                <w:rFonts w:ascii="Times New Roman" w:hAnsi="Times New Roman"/>
                <w:sz w:val="18"/>
              </w:rPr>
              <w:t>−1.58%</w:t>
            </w:r>
          </w:p>
        </w:tc>
      </w:tr>
      <w:tr>
        <w:tc>
          <w:tcPr>
            <w:tcW w:type="dxa" w:w="1740"/>
          </w:tcPr>
          <w:p>
            <w:pPr>
              <w:jc w:val="center"/>
            </w:pPr>
            <w:r/>
            <w:r>
              <w:rPr>
                <w:rFonts w:ascii="Times New Roman" w:hAnsi="Times New Roman"/>
                <w:sz w:val="18"/>
              </w:rPr>
              <w:t>AAPL</w:t>
            </w:r>
          </w:p>
        </w:tc>
        <w:tc>
          <w:tcPr>
            <w:tcW w:type="dxa" w:w="1740"/>
          </w:tcPr>
          <w:p>
            <w:pPr>
              <w:jc w:val="center"/>
            </w:pPr>
            <w:r/>
            <w:r>
              <w:rPr>
                <w:rFonts w:ascii="Times New Roman" w:hAnsi="Times New Roman"/>
                <w:sz w:val="18"/>
              </w:rPr>
              <w:t>US Technology</w:t>
            </w:r>
          </w:p>
        </w:tc>
        <w:tc>
          <w:tcPr>
            <w:tcW w:type="dxa" w:w="1740"/>
          </w:tcPr>
          <w:p>
            <w:pPr>
              <w:jc w:val="center"/>
            </w:pPr>
            <w:r/>
            <w:r>
              <w:rPr>
                <w:rFonts w:ascii="Times New Roman" w:hAnsi="Times New Roman"/>
                <w:sz w:val="18"/>
              </w:rPr>
              <w:t>NASDAQ</w:t>
            </w:r>
          </w:p>
        </w:tc>
        <w:tc>
          <w:tcPr>
            <w:tcW w:type="dxa" w:w="1740"/>
          </w:tcPr>
          <w:p>
            <w:pPr>
              <w:jc w:val="center"/>
            </w:pPr>
            <w:r/>
            <w:r>
              <w:rPr>
                <w:rFonts w:ascii="Times New Roman" w:hAnsi="Times New Roman"/>
                <w:sz w:val="18"/>
              </w:rPr>
              <w:t>2.066</w:t>
            </w:r>
          </w:p>
        </w:tc>
        <w:tc>
          <w:tcPr>
            <w:tcW w:type="dxa" w:w="1740"/>
          </w:tcPr>
          <w:p>
            <w:pPr>
              <w:jc w:val="center"/>
            </w:pPr>
            <w:r/>
            <w:r>
              <w:rPr>
                <w:rFonts w:ascii="Times New Roman" w:hAnsi="Times New Roman"/>
                <w:sz w:val="18"/>
              </w:rPr>
              <w:t>+9.59%</w:t>
            </w:r>
          </w:p>
        </w:tc>
        <w:tc>
          <w:tcPr>
            <w:tcW w:type="dxa" w:w="1740"/>
          </w:tcPr>
          <w:p>
            <w:pPr>
              <w:jc w:val="center"/>
            </w:pPr>
            <w:r/>
            <w:r>
              <w:rPr>
                <w:rFonts w:ascii="Times New Roman" w:hAnsi="Times New Roman"/>
                <w:sz w:val="18"/>
              </w:rPr>
              <w:t>−1.43%</w:t>
            </w:r>
          </w:p>
        </w:tc>
      </w:tr>
      <w:tr>
        <w:tc>
          <w:tcPr>
            <w:tcW w:type="dxa" w:w="1740"/>
          </w:tcPr>
          <w:p>
            <w:pPr>
              <w:jc w:val="center"/>
            </w:pPr>
            <w:r/>
            <w:r>
              <w:rPr>
                <w:rFonts w:ascii="Times New Roman" w:hAnsi="Times New Roman"/>
                <w:sz w:val="18"/>
              </w:rPr>
              <w:t>TCS.NS</w:t>
            </w:r>
          </w:p>
        </w:tc>
        <w:tc>
          <w:tcPr>
            <w:tcW w:type="dxa" w:w="1740"/>
          </w:tcPr>
          <w:p>
            <w:pPr>
              <w:jc w:val="center"/>
            </w:pPr>
            <w:r/>
            <w:r>
              <w:rPr>
                <w:rFonts w:ascii="Times New Roman" w:hAnsi="Times New Roman"/>
                <w:sz w:val="18"/>
              </w:rPr>
              <w:t>Indian IT Services</w:t>
            </w:r>
          </w:p>
        </w:tc>
        <w:tc>
          <w:tcPr>
            <w:tcW w:type="dxa" w:w="1740"/>
          </w:tcPr>
          <w:p>
            <w:pPr>
              <w:jc w:val="center"/>
            </w:pPr>
            <w:r/>
            <w:r>
              <w:rPr>
                <w:rFonts w:ascii="Times New Roman" w:hAnsi="Times New Roman"/>
                <w:sz w:val="18"/>
              </w:rPr>
              <w:t>NSE</w:t>
            </w:r>
          </w:p>
        </w:tc>
        <w:tc>
          <w:tcPr>
            <w:tcW w:type="dxa" w:w="1740"/>
          </w:tcPr>
          <w:p>
            <w:pPr>
              <w:jc w:val="center"/>
            </w:pPr>
            <w:r/>
            <w:r>
              <w:rPr>
                <w:rFonts w:ascii="Times New Roman" w:hAnsi="Times New Roman"/>
                <w:sz w:val="18"/>
              </w:rPr>
              <w:t>1.526</w:t>
            </w:r>
          </w:p>
        </w:tc>
        <w:tc>
          <w:tcPr>
            <w:tcW w:type="dxa" w:w="1740"/>
          </w:tcPr>
          <w:p>
            <w:pPr>
              <w:jc w:val="center"/>
            </w:pPr>
            <w:r/>
            <w:r>
              <w:rPr>
                <w:rFonts w:ascii="Times New Roman" w:hAnsi="Times New Roman"/>
                <w:sz w:val="18"/>
              </w:rPr>
              <w:t>+6.59%</w:t>
            </w:r>
          </w:p>
        </w:tc>
        <w:tc>
          <w:tcPr>
            <w:tcW w:type="dxa" w:w="1740"/>
          </w:tcPr>
          <w:p>
            <w:pPr>
              <w:jc w:val="center"/>
            </w:pPr>
            <w:r/>
            <w:r>
              <w:rPr>
                <w:rFonts w:ascii="Times New Roman" w:hAnsi="Times New Roman"/>
                <w:sz w:val="18"/>
              </w:rPr>
              <w:t>−1.81%</w:t>
            </w:r>
          </w:p>
        </w:tc>
      </w:tr>
    </w:tbl>
    <w:p>
      <w:pPr>
        <w:spacing w:after="80"/>
      </w:pPr>
    </w:p>
    <w:p>
      <w:pPr>
        <w:spacing w:before="0" w:after="40"/>
        <w:ind w:firstLine="288"/>
        <w:jc w:val="both"/>
      </w:pPr>
      <w:r>
        <w:rPr>
          <w:rFonts w:ascii="Times New Roman" w:hAnsi="Times New Roman"/>
          <w:b w:val="0"/>
          <w:i w:val="0"/>
          <w:sz w:val="21"/>
        </w:rPr>
        <w:t>Positive Sharpe Ratios and controlled drawdowns across all three assets from two different global markets (NSE and NASDAQ) conclusively demonstrate that the architecture transfers effectively across different market microstructures.</w:t>
      </w:r>
    </w:p>
    <w:p>
      <w:pPr>
        <w:spacing w:before="120" w:after="40"/>
        <w:jc w:val="left"/>
      </w:pPr>
      <w:r>
        <w:rPr>
          <w:rFonts w:ascii="Times New Roman" w:hAnsi="Times New Roman"/>
          <w:b/>
          <w:i w:val="0"/>
          <w:sz w:val="21"/>
        </w:rPr>
        <w:t>J. CIBIL Expert System Verification (Unchanged)</w:t>
      </w:r>
    </w:p>
    <w:p>
      <w:pPr>
        <w:spacing w:before="0" w:after="40"/>
        <w:ind w:firstLine="288"/>
        <w:jc w:val="both"/>
      </w:pPr>
      <w:r>
        <w:rPr>
          <w:rFonts w:ascii="Times New Roman" w:hAnsi="Times New Roman"/>
          <w:b w:val="0"/>
          <w:i w:val="0"/>
          <w:sz w:val="21"/>
        </w:rPr>
      </w:r>
      <w:r>
        <w:rPr>
          <w:rFonts w:ascii="Times New Roman" w:hAnsi="Times New Roman"/>
          <w:b/>
          <w:i w:val="0"/>
          <w:sz w:val="21"/>
        </w:rPr>
        <w:t>TABLE XIV. CIBIL Score Boundary Test Cases</w:t>
      </w:r>
      <w:r>
        <w:rPr>
          <w:rFonts w:ascii="Times New Roman" w:hAnsi="Times New Roman"/>
          <w:b w:val="0"/>
          <w:i w:val="0"/>
          <w:sz w:val="21"/>
        </w:rPr>
      </w:r>
    </w:p>
    <w:tbl>
      <w:tblPr>
        <w:tblStyle w:val="TableGrid"/>
        <w:tblW w:type="auto" w:w="0"/>
        <w:tblLook w:firstColumn="1" w:firstRow="1" w:lastColumn="0" w:lastRow="0" w:noHBand="0" w:noVBand="1" w:val="04A0"/>
      </w:tblPr>
      <w:tblGrid>
        <w:gridCol w:w="1160"/>
        <w:gridCol w:w="1160"/>
        <w:gridCol w:w="1160"/>
        <w:gridCol w:w="1160"/>
        <w:gridCol w:w="1160"/>
        <w:gridCol w:w="1160"/>
        <w:gridCol w:w="1160"/>
        <w:gridCol w:w="1160"/>
        <w:gridCol w:w="1160"/>
      </w:tblGrid>
      <w:tr>
        <w:tc>
          <w:tcPr>
            <w:tcW w:type="dxa" w:w="1160"/>
          </w:tcPr>
          <w:p>
            <w:pPr>
              <w:jc w:val="center"/>
            </w:pPr>
            <w:r/>
            <w:r>
              <w:rPr>
                <w:rFonts w:ascii="Times New Roman" w:hAnsi="Times New Roman"/>
                <w:b/>
                <w:sz w:val="18"/>
              </w:rPr>
              <w:t>Test Case</w:t>
            </w:r>
          </w:p>
        </w:tc>
        <w:tc>
          <w:tcPr>
            <w:tcW w:type="dxa" w:w="1160"/>
          </w:tcPr>
          <w:p>
            <w:pPr>
              <w:jc w:val="center"/>
            </w:pPr>
            <w:r/>
            <w:r>
              <w:rPr>
                <w:rFonts w:ascii="Times New Roman" w:hAnsi="Times New Roman"/>
                <w:b/>
                <w:sz w:val="18"/>
              </w:rPr>
              <w:t>p_OTP</w:t>
            </w:r>
          </w:p>
        </w:tc>
        <w:tc>
          <w:tcPr>
            <w:tcW w:type="dxa" w:w="1160"/>
          </w:tcPr>
          <w:p>
            <w:pPr>
              <w:jc w:val="center"/>
            </w:pPr>
            <w:r/>
            <w:r>
              <w:rPr>
                <w:rFonts w:ascii="Times New Roman" w:hAnsi="Times New Roman"/>
                <w:b/>
                <w:sz w:val="18"/>
              </w:rPr>
              <w:t>n_missed</w:t>
            </w:r>
          </w:p>
        </w:tc>
        <w:tc>
          <w:tcPr>
            <w:tcW w:type="dxa" w:w="1160"/>
          </w:tcPr>
          <w:p>
            <w:pPr>
              <w:jc w:val="center"/>
            </w:pPr>
            <w:r/>
            <w:r>
              <w:rPr>
                <w:rFonts w:ascii="Times New Roman" w:hAnsi="Times New Roman"/>
                <w:b/>
                <w:sz w:val="18"/>
              </w:rPr>
              <w:t>u%</w:t>
            </w:r>
          </w:p>
        </w:tc>
        <w:tc>
          <w:tcPr>
            <w:tcW w:type="dxa" w:w="1160"/>
          </w:tcPr>
          <w:p>
            <w:pPr>
              <w:jc w:val="center"/>
            </w:pPr>
            <w:r/>
            <w:r>
              <w:rPr>
                <w:rFonts w:ascii="Times New Roman" w:hAnsi="Times New Roman"/>
                <w:b/>
                <w:sz w:val="18"/>
              </w:rPr>
              <w:t>a_years</w:t>
            </w:r>
          </w:p>
        </w:tc>
        <w:tc>
          <w:tcPr>
            <w:tcW w:type="dxa" w:w="1160"/>
          </w:tcPr>
          <w:p>
            <w:pPr>
              <w:jc w:val="center"/>
            </w:pPr>
            <w:r/>
            <w:r>
              <w:rPr>
                <w:rFonts w:ascii="Times New Roman" w:hAnsi="Times New Roman"/>
                <w:b/>
                <w:sz w:val="18"/>
              </w:rPr>
              <w:t>n_cards</w:t>
            </w:r>
          </w:p>
        </w:tc>
        <w:tc>
          <w:tcPr>
            <w:tcW w:type="dxa" w:w="1160"/>
          </w:tcPr>
          <w:p>
            <w:pPr>
              <w:jc w:val="center"/>
            </w:pPr>
            <w:r/>
            <w:r>
              <w:rPr>
                <w:rFonts w:ascii="Times New Roman" w:hAnsi="Times New Roman"/>
                <w:b/>
                <w:sz w:val="18"/>
              </w:rPr>
              <w:t>n_hard</w:t>
            </w:r>
          </w:p>
        </w:tc>
        <w:tc>
          <w:tcPr>
            <w:tcW w:type="dxa" w:w="1160"/>
          </w:tcPr>
          <w:p>
            <w:pPr>
              <w:jc w:val="center"/>
            </w:pPr>
            <w:r/>
            <w:r>
              <w:rPr>
                <w:rFonts w:ascii="Times New Roman" w:hAnsi="Times New Roman"/>
                <w:b/>
                <w:sz w:val="18"/>
              </w:rPr>
              <w:t>Expected Score</w:t>
            </w:r>
          </w:p>
        </w:tc>
        <w:tc>
          <w:tcPr>
            <w:tcW w:type="dxa" w:w="1160"/>
          </w:tcPr>
          <w:p>
            <w:pPr>
              <w:jc w:val="center"/>
            </w:pPr>
            <w:r/>
            <w:r>
              <w:rPr>
                <w:rFonts w:ascii="Times New Roman" w:hAnsi="Times New Roman"/>
                <w:b/>
                <w:sz w:val="18"/>
              </w:rPr>
              <w:t>Computed Score</w:t>
            </w:r>
          </w:p>
        </w:tc>
      </w:tr>
      <w:tr>
        <w:tc>
          <w:tcPr>
            <w:tcW w:type="dxa" w:w="1160"/>
          </w:tcPr>
          <w:p>
            <w:pPr>
              <w:jc w:val="center"/>
            </w:pPr>
            <w:r/>
            <w:r>
              <w:rPr>
                <w:rFonts w:ascii="Times New Roman" w:hAnsi="Times New Roman"/>
                <w:sz w:val="18"/>
              </w:rPr>
              <w:t>Prime borrower</w:t>
            </w:r>
          </w:p>
        </w:tc>
        <w:tc>
          <w:tcPr>
            <w:tcW w:type="dxa" w:w="1160"/>
          </w:tcPr>
          <w:p>
            <w:pPr>
              <w:jc w:val="center"/>
            </w:pPr>
            <w:r/>
            <w:r>
              <w:rPr>
                <w:rFonts w:ascii="Times New Roman" w:hAnsi="Times New Roman"/>
                <w:sz w:val="18"/>
              </w:rPr>
              <w:t>100%</w:t>
            </w:r>
          </w:p>
        </w:tc>
        <w:tc>
          <w:tcPr>
            <w:tcW w:type="dxa" w:w="1160"/>
          </w:tcPr>
          <w:p>
            <w:pPr>
              <w:jc w:val="center"/>
            </w:pPr>
            <w:r/>
            <w:r>
              <w:rPr>
                <w:rFonts w:ascii="Times New Roman" w:hAnsi="Times New Roman"/>
                <w:sz w:val="18"/>
              </w:rPr>
              <w:t>0</w:t>
            </w:r>
          </w:p>
        </w:tc>
        <w:tc>
          <w:tcPr>
            <w:tcW w:type="dxa" w:w="1160"/>
          </w:tcPr>
          <w:p>
            <w:pPr>
              <w:jc w:val="center"/>
            </w:pPr>
            <w:r/>
            <w:r>
              <w:rPr>
                <w:rFonts w:ascii="Times New Roman" w:hAnsi="Times New Roman"/>
                <w:sz w:val="18"/>
              </w:rPr>
              <w:t>10%</w:t>
            </w:r>
          </w:p>
        </w:tc>
        <w:tc>
          <w:tcPr>
            <w:tcW w:type="dxa" w:w="1160"/>
          </w:tcPr>
          <w:p>
            <w:pPr>
              <w:jc w:val="center"/>
            </w:pPr>
            <w:r/>
            <w:r>
              <w:rPr>
                <w:rFonts w:ascii="Times New Roman" w:hAnsi="Times New Roman"/>
                <w:sz w:val="18"/>
              </w:rPr>
              <w:t>15</w:t>
            </w:r>
          </w:p>
        </w:tc>
        <w:tc>
          <w:tcPr>
            <w:tcW w:type="dxa" w:w="1160"/>
          </w:tcPr>
          <w:p>
            <w:pPr>
              <w:jc w:val="center"/>
            </w:pPr>
            <w:r/>
            <w:r>
              <w:rPr>
                <w:rFonts w:ascii="Times New Roman" w:hAnsi="Times New Roman"/>
                <w:sz w:val="18"/>
              </w:rPr>
              <w:t>2</w:t>
            </w:r>
          </w:p>
        </w:tc>
        <w:tc>
          <w:tcPr>
            <w:tcW w:type="dxa" w:w="1160"/>
          </w:tcPr>
          <w:p>
            <w:pPr>
              <w:jc w:val="center"/>
            </w:pPr>
            <w:r/>
            <w:r>
              <w:rPr>
                <w:rFonts w:ascii="Times New Roman" w:hAnsi="Times New Roman"/>
                <w:sz w:val="18"/>
              </w:rPr>
              <w:t>0</w:t>
            </w:r>
          </w:p>
        </w:tc>
        <w:tc>
          <w:tcPr>
            <w:tcW w:type="dxa" w:w="1160"/>
          </w:tcPr>
          <w:p>
            <w:pPr>
              <w:jc w:val="center"/>
            </w:pPr>
            <w:r/>
            <w:r>
              <w:rPr>
                <w:rFonts w:ascii="Times New Roman" w:hAnsi="Times New Roman"/>
                <w:sz w:val="18"/>
              </w:rPr>
              <w:t>900</w:t>
            </w:r>
          </w:p>
        </w:tc>
        <w:tc>
          <w:tcPr>
            <w:tcW w:type="dxa" w:w="1160"/>
          </w:tcPr>
          <w:p>
            <w:pPr>
              <w:jc w:val="center"/>
            </w:pPr>
            <w:r/>
            <w:r>
              <w:rPr>
                <w:rFonts w:ascii="Times New Roman" w:hAnsi="Times New Roman"/>
                <w:sz w:val="18"/>
              </w:rPr>
              <w:t>900</w:t>
            </w:r>
          </w:p>
        </w:tc>
      </w:tr>
      <w:tr>
        <w:tc>
          <w:tcPr>
            <w:tcW w:type="dxa" w:w="1160"/>
          </w:tcPr>
          <w:p>
            <w:pPr>
              <w:jc w:val="center"/>
            </w:pPr>
            <w:r/>
            <w:r>
              <w:rPr>
                <w:rFonts w:ascii="Times New Roman" w:hAnsi="Times New Roman"/>
                <w:sz w:val="18"/>
              </w:rPr>
              <w:t>Moderate</w:t>
            </w:r>
          </w:p>
        </w:tc>
        <w:tc>
          <w:tcPr>
            <w:tcW w:type="dxa" w:w="1160"/>
          </w:tcPr>
          <w:p>
            <w:pPr>
              <w:jc w:val="center"/>
            </w:pPr>
            <w:r/>
            <w:r>
              <w:rPr>
                <w:rFonts w:ascii="Times New Roman" w:hAnsi="Times New Roman"/>
                <w:sz w:val="18"/>
              </w:rPr>
              <w:t>85%</w:t>
            </w:r>
          </w:p>
        </w:tc>
        <w:tc>
          <w:tcPr>
            <w:tcW w:type="dxa" w:w="1160"/>
          </w:tcPr>
          <w:p>
            <w:pPr>
              <w:jc w:val="center"/>
            </w:pPr>
            <w:r/>
            <w:r>
              <w:rPr>
                <w:rFonts w:ascii="Times New Roman" w:hAnsi="Times New Roman"/>
                <w:sz w:val="18"/>
              </w:rPr>
              <w:t>1</w:t>
            </w:r>
          </w:p>
        </w:tc>
        <w:tc>
          <w:tcPr>
            <w:tcW w:type="dxa" w:w="1160"/>
          </w:tcPr>
          <w:p>
            <w:pPr>
              <w:jc w:val="center"/>
            </w:pPr>
            <w:r/>
            <w:r>
              <w:rPr>
                <w:rFonts w:ascii="Times New Roman" w:hAnsi="Times New Roman"/>
                <w:sz w:val="18"/>
              </w:rPr>
              <w:t>35%</w:t>
            </w:r>
          </w:p>
        </w:tc>
        <w:tc>
          <w:tcPr>
            <w:tcW w:type="dxa" w:w="1160"/>
          </w:tcPr>
          <w:p>
            <w:pPr>
              <w:jc w:val="center"/>
            </w:pPr>
            <w:r/>
            <w:r>
              <w:rPr>
                <w:rFonts w:ascii="Times New Roman" w:hAnsi="Times New Roman"/>
                <w:sz w:val="18"/>
              </w:rPr>
              <w:t>5</w:t>
            </w:r>
          </w:p>
        </w:tc>
        <w:tc>
          <w:tcPr>
            <w:tcW w:type="dxa" w:w="1160"/>
          </w:tcPr>
          <w:p>
            <w:pPr>
              <w:jc w:val="center"/>
            </w:pPr>
            <w:r/>
            <w:r>
              <w:rPr>
                <w:rFonts w:ascii="Times New Roman" w:hAnsi="Times New Roman"/>
                <w:sz w:val="18"/>
              </w:rPr>
              <w:t>1</w:t>
            </w:r>
          </w:p>
        </w:tc>
        <w:tc>
          <w:tcPr>
            <w:tcW w:type="dxa" w:w="1160"/>
          </w:tcPr>
          <w:p>
            <w:pPr>
              <w:jc w:val="center"/>
            </w:pPr>
            <w:r/>
            <w:r>
              <w:rPr>
                <w:rFonts w:ascii="Times New Roman" w:hAnsi="Times New Roman"/>
                <w:sz w:val="18"/>
              </w:rPr>
              <w:t>2</w:t>
            </w:r>
          </w:p>
        </w:tc>
        <w:tc>
          <w:tcPr>
            <w:tcW w:type="dxa" w:w="1160"/>
          </w:tcPr>
          <w:p>
            <w:pPr>
              <w:jc w:val="center"/>
            </w:pPr>
            <w:r/>
            <w:r>
              <w:rPr>
                <w:rFonts w:ascii="Times New Roman" w:hAnsi="Times New Roman"/>
                <w:sz w:val="18"/>
              </w:rPr>
              <w:t>720</w:t>
            </w:r>
          </w:p>
        </w:tc>
        <w:tc>
          <w:tcPr>
            <w:tcW w:type="dxa" w:w="1160"/>
          </w:tcPr>
          <w:p>
            <w:pPr>
              <w:jc w:val="center"/>
            </w:pPr>
            <w:r/>
            <w:r>
              <w:rPr>
                <w:rFonts w:ascii="Times New Roman" w:hAnsi="Times New Roman"/>
                <w:sz w:val="18"/>
              </w:rPr>
              <w:t>720</w:t>
            </w:r>
          </w:p>
        </w:tc>
      </w:tr>
      <w:tr>
        <w:tc>
          <w:tcPr>
            <w:tcW w:type="dxa" w:w="1160"/>
          </w:tcPr>
          <w:p>
            <w:pPr>
              <w:jc w:val="center"/>
            </w:pPr>
            <w:r/>
            <w:r>
              <w:rPr>
                <w:rFonts w:ascii="Times New Roman" w:hAnsi="Times New Roman"/>
                <w:sz w:val="18"/>
              </w:rPr>
              <w:t>Boundary util</w:t>
            </w:r>
          </w:p>
        </w:tc>
        <w:tc>
          <w:tcPr>
            <w:tcW w:type="dxa" w:w="1160"/>
          </w:tcPr>
          <w:p>
            <w:pPr>
              <w:jc w:val="center"/>
            </w:pPr>
            <w:r/>
            <w:r>
              <w:rPr>
                <w:rFonts w:ascii="Times New Roman" w:hAnsi="Times New Roman"/>
                <w:sz w:val="18"/>
              </w:rPr>
              <w:t>80%</w:t>
            </w:r>
          </w:p>
        </w:tc>
        <w:tc>
          <w:tcPr>
            <w:tcW w:type="dxa" w:w="1160"/>
          </w:tcPr>
          <w:p>
            <w:pPr>
              <w:jc w:val="center"/>
            </w:pPr>
            <w:r/>
            <w:r>
              <w:rPr>
                <w:rFonts w:ascii="Times New Roman" w:hAnsi="Times New Roman"/>
                <w:sz w:val="18"/>
              </w:rPr>
              <w:t>1</w:t>
            </w:r>
          </w:p>
        </w:tc>
        <w:tc>
          <w:tcPr>
            <w:tcW w:type="dxa" w:w="1160"/>
          </w:tcPr>
          <w:p>
            <w:pPr>
              <w:jc w:val="center"/>
            </w:pPr>
            <w:r/>
            <w:r>
              <w:rPr>
                <w:rFonts w:ascii="Times New Roman" w:hAnsi="Times New Roman"/>
                <w:sz w:val="18"/>
              </w:rPr>
              <w:t>30%</w:t>
            </w:r>
          </w:p>
        </w:tc>
        <w:tc>
          <w:tcPr>
            <w:tcW w:type="dxa" w:w="1160"/>
          </w:tcPr>
          <w:p>
            <w:pPr>
              <w:jc w:val="center"/>
            </w:pPr>
            <w:r/>
            <w:r>
              <w:rPr>
                <w:rFonts w:ascii="Times New Roman" w:hAnsi="Times New Roman"/>
                <w:sz w:val="18"/>
              </w:rPr>
              <w:t>8</w:t>
            </w:r>
          </w:p>
        </w:tc>
        <w:tc>
          <w:tcPr>
            <w:tcW w:type="dxa" w:w="1160"/>
          </w:tcPr>
          <w:p>
            <w:pPr>
              <w:jc w:val="center"/>
            </w:pPr>
            <w:r/>
            <w:r>
              <w:rPr>
                <w:rFonts w:ascii="Times New Roman" w:hAnsi="Times New Roman"/>
                <w:sz w:val="18"/>
              </w:rPr>
              <w:t>1</w:t>
            </w:r>
          </w:p>
        </w:tc>
        <w:tc>
          <w:tcPr>
            <w:tcW w:type="dxa" w:w="1160"/>
          </w:tcPr>
          <w:p>
            <w:pPr>
              <w:jc w:val="center"/>
            </w:pPr>
            <w:r/>
            <w:r>
              <w:rPr>
                <w:rFonts w:ascii="Times New Roman" w:hAnsi="Times New Roman"/>
                <w:sz w:val="18"/>
              </w:rPr>
              <w:t>1</w:t>
            </w:r>
          </w:p>
        </w:tc>
        <w:tc>
          <w:tcPr>
            <w:tcW w:type="dxa" w:w="1160"/>
          </w:tcPr>
          <w:p>
            <w:pPr>
              <w:jc w:val="center"/>
            </w:pPr>
            <w:r/>
            <w:r>
              <w:rPr>
                <w:rFonts w:ascii="Times New Roman" w:hAnsi="Times New Roman"/>
                <w:sz w:val="18"/>
              </w:rPr>
              <w:t>860</w:t>
            </w:r>
          </w:p>
        </w:tc>
        <w:tc>
          <w:tcPr>
            <w:tcW w:type="dxa" w:w="1160"/>
          </w:tcPr>
          <w:p>
            <w:pPr>
              <w:jc w:val="center"/>
            </w:pPr>
            <w:r/>
            <w:r>
              <w:rPr>
                <w:rFonts w:ascii="Times New Roman" w:hAnsi="Times New Roman"/>
                <w:sz w:val="18"/>
              </w:rPr>
              <w:t>860</w:t>
            </w:r>
          </w:p>
        </w:tc>
      </w:tr>
      <w:tr>
        <w:tc>
          <w:tcPr>
            <w:tcW w:type="dxa" w:w="1160"/>
          </w:tcPr>
          <w:p>
            <w:pPr>
              <w:jc w:val="center"/>
            </w:pPr>
            <w:r/>
            <w:r>
              <w:rPr>
                <w:rFonts w:ascii="Times New Roman" w:hAnsi="Times New Roman"/>
                <w:sz w:val="18"/>
              </w:rPr>
              <w:t>High risk</w:t>
            </w:r>
          </w:p>
        </w:tc>
        <w:tc>
          <w:tcPr>
            <w:tcW w:type="dxa" w:w="1160"/>
          </w:tcPr>
          <w:p>
            <w:pPr>
              <w:jc w:val="center"/>
            </w:pPr>
            <w:r/>
            <w:r>
              <w:rPr>
                <w:rFonts w:ascii="Times New Roman" w:hAnsi="Times New Roman"/>
                <w:sz w:val="18"/>
              </w:rPr>
              <w:t>60%</w:t>
            </w:r>
          </w:p>
        </w:tc>
        <w:tc>
          <w:tcPr>
            <w:tcW w:type="dxa" w:w="1160"/>
          </w:tcPr>
          <w:p>
            <w:pPr>
              <w:jc w:val="center"/>
            </w:pPr>
            <w:r/>
            <w:r>
              <w:rPr>
                <w:rFonts w:ascii="Times New Roman" w:hAnsi="Times New Roman"/>
                <w:sz w:val="18"/>
              </w:rPr>
              <w:t>4</w:t>
            </w:r>
          </w:p>
        </w:tc>
        <w:tc>
          <w:tcPr>
            <w:tcW w:type="dxa" w:w="1160"/>
          </w:tcPr>
          <w:p>
            <w:pPr>
              <w:jc w:val="center"/>
            </w:pPr>
            <w:r/>
            <w:r>
              <w:rPr>
                <w:rFonts w:ascii="Times New Roman" w:hAnsi="Times New Roman"/>
                <w:sz w:val="18"/>
              </w:rPr>
              <w:t>80%</w:t>
            </w:r>
          </w:p>
        </w:tc>
        <w:tc>
          <w:tcPr>
            <w:tcW w:type="dxa" w:w="1160"/>
          </w:tcPr>
          <w:p>
            <w:pPr>
              <w:jc w:val="center"/>
            </w:pPr>
            <w:r/>
            <w:r>
              <w:rPr>
                <w:rFonts w:ascii="Times New Roman" w:hAnsi="Times New Roman"/>
                <w:sz w:val="18"/>
              </w:rPr>
              <w:t>1</w:t>
            </w:r>
          </w:p>
        </w:tc>
        <w:tc>
          <w:tcPr>
            <w:tcW w:type="dxa" w:w="1160"/>
          </w:tcPr>
          <w:p>
            <w:pPr>
              <w:jc w:val="center"/>
            </w:pPr>
            <w:r/>
            <w:r>
              <w:rPr>
                <w:rFonts w:ascii="Times New Roman" w:hAnsi="Times New Roman"/>
                <w:sz w:val="18"/>
              </w:rPr>
              <w:t>0</w:t>
            </w:r>
          </w:p>
        </w:tc>
        <w:tc>
          <w:tcPr>
            <w:tcW w:type="dxa" w:w="1160"/>
          </w:tcPr>
          <w:p>
            <w:pPr>
              <w:jc w:val="center"/>
            </w:pPr>
            <w:r/>
            <w:r>
              <w:rPr>
                <w:rFonts w:ascii="Times New Roman" w:hAnsi="Times New Roman"/>
                <w:sz w:val="18"/>
              </w:rPr>
              <w:t>5</w:t>
            </w:r>
          </w:p>
        </w:tc>
        <w:tc>
          <w:tcPr>
            <w:tcW w:type="dxa" w:w="1160"/>
          </w:tcPr>
          <w:p>
            <w:pPr>
              <w:jc w:val="center"/>
            </w:pPr>
            <w:r/>
            <w:r>
              <w:rPr>
                <w:rFonts w:ascii="Times New Roman" w:hAnsi="Times New Roman"/>
                <w:sz w:val="18"/>
              </w:rPr>
              <w:t>396</w:t>
            </w:r>
          </w:p>
        </w:tc>
        <w:tc>
          <w:tcPr>
            <w:tcW w:type="dxa" w:w="1160"/>
          </w:tcPr>
          <w:p>
            <w:pPr>
              <w:jc w:val="center"/>
            </w:pPr>
            <w:r/>
            <w:r>
              <w:rPr>
                <w:rFonts w:ascii="Times New Roman" w:hAnsi="Times New Roman"/>
                <w:sz w:val="18"/>
              </w:rPr>
              <w:t>396</w:t>
            </w:r>
          </w:p>
        </w:tc>
      </w:tr>
    </w:tbl>
    <w:p>
      <w:pPr>
        <w:spacing w:after="80"/>
      </w:pPr>
    </w:p>
    <w:p>
      <w:pPr>
        <w:spacing w:before="120" w:after="40"/>
        <w:jc w:val="left"/>
      </w:pPr>
      <w:r>
        <w:rPr>
          <w:rFonts w:ascii="Times New Roman" w:hAnsi="Times New Roman"/>
          <w:b/>
          <w:i w:val="0"/>
          <w:sz w:val="21"/>
        </w:rPr>
        <w:t>K. Deterministic NLP Expense Classification (Unchanged)</w:t>
      </w:r>
    </w:p>
    <w:p>
      <w:pPr>
        <w:spacing w:before="0" w:after="40"/>
        <w:ind w:firstLine="288"/>
        <w:jc w:val="both"/>
      </w:pPr>
      <w:r>
        <w:rPr>
          <w:rFonts w:ascii="Times New Roman" w:hAnsi="Times New Roman"/>
          <w:b w:val="0"/>
          <w:i w:val="0"/>
          <w:sz w:val="21"/>
        </w:rPr>
      </w:r>
      <w:r>
        <w:rPr>
          <w:rFonts w:ascii="Times New Roman" w:hAnsi="Times New Roman"/>
          <w:b/>
          <w:i w:val="0"/>
          <w:sz w:val="21"/>
        </w:rPr>
        <w:t>TABLE XV. Transaction Classification Performance (200-Message Test Set)</w:t>
      </w:r>
      <w:r>
        <w:rPr>
          <w:rFonts w:ascii="Times New Roman" w:hAnsi="Times New Roman"/>
          <w:b w:val="0"/>
          <w:i w:val="0"/>
          <w:sz w:val="21"/>
        </w:rPr>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jc w:val="center"/>
            </w:pPr>
            <w:r/>
            <w:r>
              <w:rPr>
                <w:rFonts w:ascii="Times New Roman" w:hAnsi="Times New Roman"/>
                <w:b/>
                <w:sz w:val="18"/>
              </w:rPr>
              <w:t>Category</w:t>
            </w:r>
          </w:p>
        </w:tc>
        <w:tc>
          <w:tcPr>
            <w:tcW w:type="dxa" w:w="2610"/>
          </w:tcPr>
          <w:p>
            <w:pPr>
              <w:jc w:val="center"/>
            </w:pPr>
            <w:r/>
            <w:r>
              <w:rPr>
                <w:rFonts w:ascii="Times New Roman" w:hAnsi="Times New Roman"/>
                <w:b/>
                <w:sz w:val="18"/>
              </w:rPr>
              <w:t>Precision</w:t>
            </w:r>
          </w:p>
        </w:tc>
        <w:tc>
          <w:tcPr>
            <w:tcW w:type="dxa" w:w="2610"/>
          </w:tcPr>
          <w:p>
            <w:pPr>
              <w:jc w:val="center"/>
            </w:pPr>
            <w:r/>
            <w:r>
              <w:rPr>
                <w:rFonts w:ascii="Times New Roman" w:hAnsi="Times New Roman"/>
                <w:b/>
                <w:sz w:val="18"/>
              </w:rPr>
              <w:t>Recall</w:t>
            </w:r>
          </w:p>
        </w:tc>
        <w:tc>
          <w:tcPr>
            <w:tcW w:type="dxa" w:w="2610"/>
          </w:tcPr>
          <w:p>
            <w:pPr>
              <w:jc w:val="center"/>
            </w:pPr>
            <w:r/>
            <w:r>
              <w:rPr>
                <w:rFonts w:ascii="Times New Roman" w:hAnsi="Times New Roman"/>
                <w:b/>
                <w:sz w:val="18"/>
              </w:rPr>
              <w:t>F1 Score</w:t>
            </w:r>
          </w:p>
        </w:tc>
      </w:tr>
      <w:tr>
        <w:tc>
          <w:tcPr>
            <w:tcW w:type="dxa" w:w="2610"/>
          </w:tcPr>
          <w:p>
            <w:pPr>
              <w:jc w:val="center"/>
            </w:pPr>
            <w:r/>
            <w:r>
              <w:rPr>
                <w:rFonts w:ascii="Times New Roman" w:hAnsi="Times New Roman"/>
                <w:sz w:val="18"/>
              </w:rPr>
              <w:t>Food &amp; Dining</w:t>
            </w:r>
          </w:p>
        </w:tc>
        <w:tc>
          <w:tcPr>
            <w:tcW w:type="dxa" w:w="2610"/>
          </w:tcPr>
          <w:p>
            <w:pPr>
              <w:jc w:val="center"/>
            </w:pPr>
            <w:r/>
            <w:r>
              <w:rPr>
                <w:rFonts w:ascii="Times New Roman" w:hAnsi="Times New Roman"/>
                <w:sz w:val="18"/>
              </w:rPr>
              <w:t>96%</w:t>
            </w:r>
          </w:p>
        </w:tc>
        <w:tc>
          <w:tcPr>
            <w:tcW w:type="dxa" w:w="2610"/>
          </w:tcPr>
          <w:p>
            <w:pPr>
              <w:jc w:val="center"/>
            </w:pPr>
            <w:r/>
            <w:r>
              <w:rPr>
                <w:rFonts w:ascii="Times New Roman" w:hAnsi="Times New Roman"/>
                <w:sz w:val="18"/>
              </w:rPr>
              <w:t>93%</w:t>
            </w:r>
          </w:p>
        </w:tc>
        <w:tc>
          <w:tcPr>
            <w:tcW w:type="dxa" w:w="2610"/>
          </w:tcPr>
          <w:p>
            <w:pPr>
              <w:jc w:val="center"/>
            </w:pPr>
            <w:r/>
            <w:r>
              <w:rPr>
                <w:rFonts w:ascii="Times New Roman" w:hAnsi="Times New Roman"/>
                <w:sz w:val="18"/>
              </w:rPr>
              <w:t>94%</w:t>
            </w:r>
          </w:p>
        </w:tc>
      </w:tr>
      <w:tr>
        <w:tc>
          <w:tcPr>
            <w:tcW w:type="dxa" w:w="2610"/>
          </w:tcPr>
          <w:p>
            <w:pPr>
              <w:jc w:val="center"/>
            </w:pPr>
            <w:r/>
            <w:r>
              <w:rPr>
                <w:rFonts w:ascii="Times New Roman" w:hAnsi="Times New Roman"/>
                <w:sz w:val="18"/>
              </w:rPr>
              <w:t>Transport</w:t>
            </w:r>
          </w:p>
        </w:tc>
        <w:tc>
          <w:tcPr>
            <w:tcW w:type="dxa" w:w="2610"/>
          </w:tcPr>
          <w:p>
            <w:pPr>
              <w:jc w:val="center"/>
            </w:pPr>
            <w:r/>
            <w:r>
              <w:rPr>
                <w:rFonts w:ascii="Times New Roman" w:hAnsi="Times New Roman"/>
                <w:sz w:val="18"/>
              </w:rPr>
              <w:t>98%</w:t>
            </w:r>
          </w:p>
        </w:tc>
        <w:tc>
          <w:tcPr>
            <w:tcW w:type="dxa" w:w="2610"/>
          </w:tcPr>
          <w:p>
            <w:pPr>
              <w:jc w:val="center"/>
            </w:pPr>
            <w:r/>
            <w:r>
              <w:rPr>
                <w:rFonts w:ascii="Times New Roman" w:hAnsi="Times New Roman"/>
                <w:sz w:val="18"/>
              </w:rPr>
              <w:t>96%</w:t>
            </w:r>
          </w:p>
        </w:tc>
        <w:tc>
          <w:tcPr>
            <w:tcW w:type="dxa" w:w="2610"/>
          </w:tcPr>
          <w:p>
            <w:pPr>
              <w:jc w:val="center"/>
            </w:pPr>
            <w:r/>
            <w:r>
              <w:rPr>
                <w:rFonts w:ascii="Times New Roman" w:hAnsi="Times New Roman"/>
                <w:sz w:val="18"/>
              </w:rPr>
              <w:t>97%</w:t>
            </w:r>
          </w:p>
        </w:tc>
      </w:tr>
      <w:tr>
        <w:tc>
          <w:tcPr>
            <w:tcW w:type="dxa" w:w="2610"/>
          </w:tcPr>
          <w:p>
            <w:pPr>
              <w:jc w:val="center"/>
            </w:pPr>
            <w:r/>
            <w:r>
              <w:rPr>
                <w:rFonts w:ascii="Times New Roman" w:hAnsi="Times New Roman"/>
                <w:sz w:val="18"/>
              </w:rPr>
              <w:t>Shopping</w:t>
            </w:r>
          </w:p>
        </w:tc>
        <w:tc>
          <w:tcPr>
            <w:tcW w:type="dxa" w:w="2610"/>
          </w:tcPr>
          <w:p>
            <w:pPr>
              <w:jc w:val="center"/>
            </w:pPr>
            <w:r/>
            <w:r>
              <w:rPr>
                <w:rFonts w:ascii="Times New Roman" w:hAnsi="Times New Roman"/>
                <w:sz w:val="18"/>
              </w:rPr>
              <w:t>91%</w:t>
            </w:r>
          </w:p>
        </w:tc>
        <w:tc>
          <w:tcPr>
            <w:tcW w:type="dxa" w:w="2610"/>
          </w:tcPr>
          <w:p>
            <w:pPr>
              <w:jc w:val="center"/>
            </w:pPr>
            <w:r/>
            <w:r>
              <w:rPr>
                <w:rFonts w:ascii="Times New Roman" w:hAnsi="Times New Roman"/>
                <w:sz w:val="18"/>
              </w:rPr>
              <w:t>89%</w:t>
            </w:r>
          </w:p>
        </w:tc>
        <w:tc>
          <w:tcPr>
            <w:tcW w:type="dxa" w:w="2610"/>
          </w:tcPr>
          <w:p>
            <w:pPr>
              <w:jc w:val="center"/>
            </w:pPr>
            <w:r/>
            <w:r>
              <w:rPr>
                <w:rFonts w:ascii="Times New Roman" w:hAnsi="Times New Roman"/>
                <w:sz w:val="18"/>
              </w:rPr>
              <w:t>90%</w:t>
            </w:r>
          </w:p>
        </w:tc>
      </w:tr>
      <w:tr>
        <w:tc>
          <w:tcPr>
            <w:tcW w:type="dxa" w:w="2610"/>
          </w:tcPr>
          <w:p>
            <w:pPr>
              <w:jc w:val="center"/>
            </w:pPr>
            <w:r/>
            <w:r>
              <w:rPr>
                <w:rFonts w:ascii="Times New Roman" w:hAnsi="Times New Roman"/>
                <w:sz w:val="18"/>
              </w:rPr>
              <w:t>Utilities</w:t>
            </w:r>
          </w:p>
        </w:tc>
        <w:tc>
          <w:tcPr>
            <w:tcW w:type="dxa" w:w="2610"/>
          </w:tcPr>
          <w:p>
            <w:pPr>
              <w:jc w:val="center"/>
            </w:pPr>
            <w:r/>
            <w:r>
              <w:rPr>
                <w:rFonts w:ascii="Times New Roman" w:hAnsi="Times New Roman"/>
                <w:sz w:val="18"/>
              </w:rPr>
              <w:t>94%</w:t>
            </w:r>
          </w:p>
        </w:tc>
        <w:tc>
          <w:tcPr>
            <w:tcW w:type="dxa" w:w="2610"/>
          </w:tcPr>
          <w:p>
            <w:pPr>
              <w:jc w:val="center"/>
            </w:pPr>
            <w:r/>
            <w:r>
              <w:rPr>
                <w:rFonts w:ascii="Times New Roman" w:hAnsi="Times New Roman"/>
                <w:sz w:val="18"/>
              </w:rPr>
              <w:t>92%</w:t>
            </w:r>
          </w:p>
        </w:tc>
        <w:tc>
          <w:tcPr>
            <w:tcW w:type="dxa" w:w="2610"/>
          </w:tcPr>
          <w:p>
            <w:pPr>
              <w:jc w:val="center"/>
            </w:pPr>
            <w:r/>
            <w:r>
              <w:rPr>
                <w:rFonts w:ascii="Times New Roman" w:hAnsi="Times New Roman"/>
                <w:sz w:val="18"/>
              </w:rPr>
              <w:t>93%</w:t>
            </w:r>
          </w:p>
        </w:tc>
      </w:tr>
      <w:tr>
        <w:tc>
          <w:tcPr>
            <w:tcW w:type="dxa" w:w="2610"/>
          </w:tcPr>
          <w:p>
            <w:pPr>
              <w:jc w:val="center"/>
            </w:pPr>
            <w:r/>
            <w:r>
              <w:rPr>
                <w:rFonts w:ascii="Times New Roman" w:hAnsi="Times New Roman"/>
                <w:sz w:val="18"/>
              </w:rPr>
              <w:t>Other</w:t>
            </w:r>
          </w:p>
        </w:tc>
        <w:tc>
          <w:tcPr>
            <w:tcW w:type="dxa" w:w="2610"/>
          </w:tcPr>
          <w:p>
            <w:pPr>
              <w:jc w:val="center"/>
            </w:pPr>
            <w:r/>
            <w:r>
              <w:rPr>
                <w:rFonts w:ascii="Times New Roman" w:hAnsi="Times New Roman"/>
                <w:sz w:val="18"/>
              </w:rPr>
              <w:t>78%</w:t>
            </w:r>
          </w:p>
        </w:tc>
        <w:tc>
          <w:tcPr>
            <w:tcW w:type="dxa" w:w="2610"/>
          </w:tcPr>
          <w:p>
            <w:pPr>
              <w:jc w:val="center"/>
            </w:pPr>
            <w:r/>
            <w:r>
              <w:rPr>
                <w:rFonts w:ascii="Times New Roman" w:hAnsi="Times New Roman"/>
                <w:sz w:val="18"/>
              </w:rPr>
              <w:t>81%</w:t>
            </w:r>
          </w:p>
        </w:tc>
        <w:tc>
          <w:tcPr>
            <w:tcW w:type="dxa" w:w="2610"/>
          </w:tcPr>
          <w:p>
            <w:pPr>
              <w:jc w:val="center"/>
            </w:pPr>
            <w:r/>
            <w:r>
              <w:rPr>
                <w:rFonts w:ascii="Times New Roman" w:hAnsi="Times New Roman"/>
                <w:sz w:val="18"/>
              </w:rPr>
              <w:t>79%</w:t>
            </w:r>
          </w:p>
        </w:tc>
      </w:tr>
      <w:tr>
        <w:tc>
          <w:tcPr>
            <w:tcW w:type="dxa" w:w="2610"/>
          </w:tcPr>
          <w:p>
            <w:pPr>
              <w:jc w:val="center"/>
            </w:pPr>
            <w:r/>
            <w:r>
              <w:rPr>
                <w:rFonts w:ascii="Times New Roman" w:hAnsi="Times New Roman"/>
                <w:sz w:val="18"/>
              </w:rPr>
              <w:t>Weighted Average</w:t>
            </w:r>
          </w:p>
        </w:tc>
        <w:tc>
          <w:tcPr>
            <w:tcW w:type="dxa" w:w="2610"/>
          </w:tcPr>
          <w:p>
            <w:pPr>
              <w:jc w:val="center"/>
            </w:pPr>
            <w:r/>
            <w:r>
              <w:rPr>
                <w:rFonts w:ascii="Times New Roman" w:hAnsi="Times New Roman"/>
                <w:sz w:val="18"/>
              </w:rPr>
              <w:t>92%</w:t>
            </w:r>
          </w:p>
        </w:tc>
        <w:tc>
          <w:tcPr>
            <w:tcW w:type="dxa" w:w="2610"/>
          </w:tcPr>
          <w:p>
            <w:pPr>
              <w:jc w:val="center"/>
            </w:pPr>
            <w:r/>
            <w:r>
              <w:rPr>
                <w:rFonts w:ascii="Times New Roman" w:hAnsi="Times New Roman"/>
                <w:sz w:val="18"/>
              </w:rPr>
              <w:t>88%</w:t>
            </w:r>
          </w:p>
        </w:tc>
        <w:tc>
          <w:tcPr>
            <w:tcW w:type="dxa" w:w="2610"/>
          </w:tcPr>
          <w:p>
            <w:pPr>
              <w:jc w:val="center"/>
            </w:pPr>
            <w:r/>
            <w:r>
              <w:rPr>
                <w:rFonts w:ascii="Times New Roman" w:hAnsi="Times New Roman"/>
                <w:sz w:val="18"/>
              </w:rPr>
              <w:t>88%</w:t>
            </w:r>
          </w:p>
        </w:tc>
      </w:tr>
    </w:tbl>
    <w:p>
      <w:pPr>
        <w:spacing w:after="80"/>
      </w:pPr>
    </w:p>
    <w:p>
      <w:pPr>
        <w:spacing w:before="120" w:after="40"/>
        <w:jc w:val="left"/>
      </w:pPr>
      <w:r>
        <w:rPr>
          <w:rFonts w:ascii="Times New Roman" w:hAnsi="Times New Roman"/>
          <w:b/>
          <w:i w:val="0"/>
          <w:sz w:val="21"/>
        </w:rPr>
        <w:t>L. System Performance</w:t>
      </w:r>
    </w:p>
    <w:p>
      <w:pPr>
        <w:spacing w:before="0" w:after="40"/>
        <w:ind w:firstLine="288"/>
        <w:jc w:val="both"/>
      </w:pPr>
      <w:r>
        <w:rPr>
          <w:rFonts w:ascii="Times New Roman" w:hAnsi="Times New Roman"/>
          <w:b w:val="0"/>
          <w:i w:val="0"/>
          <w:sz w:val="21"/>
        </w:rPr>
      </w:r>
      <w:r>
        <w:rPr>
          <w:rFonts w:ascii="Times New Roman" w:hAnsi="Times New Roman"/>
          <w:b/>
          <w:i w:val="0"/>
          <w:sz w:val="21"/>
        </w:rPr>
        <w:t>TABLE XVI. Cloud System Performance Metrics</w:t>
      </w:r>
      <w:r>
        <w:rPr>
          <w:rFonts w:ascii="Times New Roman" w:hAnsi="Times New Roman"/>
          <w:b w:val="0"/>
          <w:i w:val="0"/>
          <w:sz w:val="21"/>
        </w:rPr>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pPr>
              <w:jc w:val="center"/>
            </w:pPr>
            <w:r/>
            <w:r>
              <w:rPr>
                <w:rFonts w:ascii="Times New Roman" w:hAnsi="Times New Roman"/>
                <w:b/>
                <w:sz w:val="18"/>
              </w:rPr>
              <w:t>Endpoint</w:t>
            </w:r>
          </w:p>
        </w:tc>
        <w:tc>
          <w:tcPr>
            <w:tcW w:type="dxa" w:w="2610"/>
          </w:tcPr>
          <w:p>
            <w:pPr>
              <w:jc w:val="center"/>
            </w:pPr>
            <w:r/>
            <w:r>
              <w:rPr>
                <w:rFonts w:ascii="Times New Roman" w:hAnsi="Times New Roman"/>
                <w:b/>
                <w:sz w:val="18"/>
              </w:rPr>
              <w:t>Mean Latency</w:t>
            </w:r>
          </w:p>
        </w:tc>
        <w:tc>
          <w:tcPr>
            <w:tcW w:type="dxa" w:w="2610"/>
          </w:tcPr>
          <w:p>
            <w:pPr>
              <w:jc w:val="center"/>
            </w:pPr>
            <w:r/>
            <w:r>
              <w:rPr>
                <w:rFonts w:ascii="Times New Roman" w:hAnsi="Times New Roman"/>
                <w:b/>
                <w:sz w:val="18"/>
              </w:rPr>
              <w:t>p95 Latency</w:t>
            </w:r>
          </w:p>
        </w:tc>
        <w:tc>
          <w:tcPr>
            <w:tcW w:type="dxa" w:w="2610"/>
          </w:tcPr>
          <w:p>
            <w:pPr>
              <w:jc w:val="center"/>
            </w:pPr>
            <w:r/>
            <w:r>
              <w:rPr>
                <w:rFonts w:ascii="Times New Roman" w:hAnsi="Times New Roman"/>
                <w:b/>
                <w:sz w:val="18"/>
              </w:rPr>
              <w:t>Model Loading Strategy</w:t>
            </w:r>
          </w:p>
        </w:tc>
      </w:tr>
      <w:tr>
        <w:tc>
          <w:tcPr>
            <w:tcW w:type="dxa" w:w="2610"/>
          </w:tcPr>
          <w:p>
            <w:pPr>
              <w:jc w:val="center"/>
            </w:pPr>
            <w:r/>
            <w:r>
              <w:rPr>
                <w:rFonts w:ascii="Times New Roman" w:hAnsi="Times New Roman"/>
                <w:sz w:val="18"/>
              </w:rPr>
              <w:t>/predict (warm)</w:t>
            </w:r>
          </w:p>
        </w:tc>
        <w:tc>
          <w:tcPr>
            <w:tcW w:type="dxa" w:w="2610"/>
          </w:tcPr>
          <w:p>
            <w:pPr>
              <w:jc w:val="center"/>
            </w:pPr>
            <w:r/>
            <w:r>
              <w:rPr>
                <w:rFonts w:ascii="Times New Roman" w:hAnsi="Times New Roman"/>
                <w:sz w:val="18"/>
              </w:rPr>
              <w:t>180ms</w:t>
            </w:r>
          </w:p>
        </w:tc>
        <w:tc>
          <w:tcPr>
            <w:tcW w:type="dxa" w:w="2610"/>
          </w:tcPr>
          <w:p>
            <w:pPr>
              <w:jc w:val="center"/>
            </w:pPr>
            <w:r/>
            <w:r>
              <w:rPr>
                <w:rFonts w:ascii="Times New Roman" w:hAnsi="Times New Roman"/>
                <w:sz w:val="18"/>
              </w:rPr>
              <w:t>340ms</w:t>
            </w:r>
          </w:p>
        </w:tc>
        <w:tc>
          <w:tcPr>
            <w:tcW w:type="dxa" w:w="2610"/>
          </w:tcPr>
          <w:p>
            <w:pPr>
              <w:jc w:val="center"/>
            </w:pPr>
            <w:r/>
            <w:r>
              <w:rPr>
                <w:rFonts w:ascii="Times New Roman" w:hAnsi="Times New Roman"/>
                <w:sz w:val="18"/>
              </w:rPr>
              <w:t>Redis-cached GARCH output</w:t>
            </w:r>
          </w:p>
        </w:tc>
      </w:tr>
      <w:tr>
        <w:tc>
          <w:tcPr>
            <w:tcW w:type="dxa" w:w="2610"/>
          </w:tcPr>
          <w:p>
            <w:pPr>
              <w:jc w:val="center"/>
            </w:pPr>
            <w:r/>
            <w:r>
              <w:rPr>
                <w:rFonts w:ascii="Times New Roman" w:hAnsi="Times New Roman"/>
                <w:sz w:val="18"/>
              </w:rPr>
              <w:t>/predict (cold)</w:t>
            </w:r>
          </w:p>
        </w:tc>
        <w:tc>
          <w:tcPr>
            <w:tcW w:type="dxa" w:w="2610"/>
          </w:tcPr>
          <w:p>
            <w:pPr>
              <w:jc w:val="center"/>
            </w:pPr>
            <w:r/>
            <w:r>
              <w:rPr>
                <w:rFonts w:ascii="Times New Roman" w:hAnsi="Times New Roman"/>
                <w:sz w:val="18"/>
              </w:rPr>
              <w:t>2.4s</w:t>
            </w:r>
          </w:p>
        </w:tc>
        <w:tc>
          <w:tcPr>
            <w:tcW w:type="dxa" w:w="2610"/>
          </w:tcPr>
          <w:p>
            <w:pPr>
              <w:jc w:val="center"/>
            </w:pPr>
            <w:r/>
            <w:r>
              <w:rPr>
                <w:rFonts w:ascii="Times New Roman" w:hAnsi="Times New Roman"/>
                <w:sz w:val="18"/>
              </w:rPr>
              <w:t>3.1s</w:t>
            </w:r>
          </w:p>
        </w:tc>
        <w:tc>
          <w:tcPr>
            <w:tcW w:type="dxa" w:w="2610"/>
          </w:tcPr>
          <w:p>
            <w:pPr>
              <w:jc w:val="center"/>
            </w:pPr>
            <w:r/>
            <w:r>
              <w:rPr>
                <w:rFonts w:ascii="Times New Roman" w:hAnsi="Times New Roman"/>
                <w:sz w:val="18"/>
              </w:rPr>
              <w:t>FinBERT pre-loaded at startup</w:t>
            </w:r>
          </w:p>
        </w:tc>
      </w:tr>
      <w:tr>
        <w:tc>
          <w:tcPr>
            <w:tcW w:type="dxa" w:w="2610"/>
          </w:tcPr>
          <w:p>
            <w:pPr>
              <w:jc w:val="center"/>
            </w:pPr>
            <w:r/>
            <w:r>
              <w:rPr>
                <w:rFonts w:ascii="Times New Roman" w:hAnsi="Times New Roman"/>
                <w:sz w:val="18"/>
              </w:rPr>
              <w:t>/cibil</w:t>
            </w:r>
          </w:p>
        </w:tc>
        <w:tc>
          <w:tcPr>
            <w:tcW w:type="dxa" w:w="2610"/>
          </w:tcPr>
          <w:p>
            <w:pPr>
              <w:jc w:val="center"/>
            </w:pPr>
            <w:r/>
            <w:r>
              <w:rPr>
                <w:rFonts w:ascii="Times New Roman" w:hAnsi="Times New Roman"/>
                <w:sz w:val="18"/>
              </w:rPr>
              <w:t>12ms</w:t>
            </w:r>
          </w:p>
        </w:tc>
        <w:tc>
          <w:tcPr>
            <w:tcW w:type="dxa" w:w="2610"/>
          </w:tcPr>
          <w:p>
            <w:pPr>
              <w:jc w:val="center"/>
            </w:pPr>
            <w:r/>
            <w:r>
              <w:rPr>
                <w:rFonts w:ascii="Times New Roman" w:hAnsi="Times New Roman"/>
                <w:sz w:val="18"/>
              </w:rPr>
              <w:t>18ms</w:t>
            </w:r>
          </w:p>
        </w:tc>
        <w:tc>
          <w:tcPr>
            <w:tcW w:type="dxa" w:w="2610"/>
          </w:tcPr>
          <w:p>
            <w:pPr>
              <w:jc w:val="center"/>
            </w:pPr>
            <w:r/>
            <w:r>
              <w:rPr>
                <w:rFonts w:ascii="Times New Roman" w:hAnsi="Times New Roman"/>
                <w:sz w:val="18"/>
              </w:rPr>
              <w:t>Pure deterministic computation</w:t>
            </w:r>
          </w:p>
        </w:tc>
      </w:tr>
      <w:tr>
        <w:tc>
          <w:tcPr>
            <w:tcW w:type="dxa" w:w="2610"/>
          </w:tcPr>
          <w:p>
            <w:pPr>
              <w:jc w:val="center"/>
            </w:pPr>
            <w:r/>
            <w:r>
              <w:rPr>
                <w:rFonts w:ascii="Times New Roman" w:hAnsi="Times New Roman"/>
                <w:sz w:val="18"/>
              </w:rPr>
              <w:t>/sms/parse</w:t>
            </w:r>
          </w:p>
        </w:tc>
        <w:tc>
          <w:tcPr>
            <w:tcW w:type="dxa" w:w="2610"/>
          </w:tcPr>
          <w:p>
            <w:pPr>
              <w:jc w:val="center"/>
            </w:pPr>
            <w:r/>
            <w:r>
              <w:rPr>
                <w:rFonts w:ascii="Times New Roman" w:hAnsi="Times New Roman"/>
                <w:sz w:val="18"/>
              </w:rPr>
              <w:t>8ms</w:t>
            </w:r>
          </w:p>
        </w:tc>
        <w:tc>
          <w:tcPr>
            <w:tcW w:type="dxa" w:w="2610"/>
          </w:tcPr>
          <w:p>
            <w:pPr>
              <w:jc w:val="center"/>
            </w:pPr>
            <w:r/>
            <w:r>
              <w:rPr>
                <w:rFonts w:ascii="Times New Roman" w:hAnsi="Times New Roman"/>
                <w:sz w:val="18"/>
              </w:rPr>
              <w:t>11ms</w:t>
            </w:r>
          </w:p>
        </w:tc>
        <w:tc>
          <w:tcPr>
            <w:tcW w:type="dxa" w:w="2610"/>
          </w:tcPr>
          <w:p>
            <w:pPr>
              <w:jc w:val="center"/>
            </w:pPr>
            <w:r/>
            <w:r>
              <w:rPr>
                <w:rFonts w:ascii="Times New Roman" w:hAnsi="Times New Roman"/>
                <w:sz w:val="18"/>
              </w:rPr>
              <w:t>Regex, no ML inference</w:t>
            </w:r>
          </w:p>
        </w:tc>
      </w:tr>
    </w:tbl>
    <w:p>
      <w:pPr>
        <w:spacing w:after="80"/>
      </w:pPr>
    </w:p>
    <w:p>
      <w:pPr>
        <w:spacing w:before="120" w:after="80"/>
        <w:jc w:val="center"/>
      </w:pPr>
      <w:r>
        <w:rPr>
          <w:rFonts w:ascii="Times New Roman" w:hAnsi="Times New Roman"/>
          <w:b/>
          <w:i w:val="0"/>
          <w:sz w:val="22"/>
        </w:rPr>
        <w:t>VI. DATA AVAILABILITY AND REPRODUCIBILITY STATEMENT</w:t>
      </w:r>
    </w:p>
    <w:p>
      <w:pPr>
        <w:spacing w:before="0" w:after="20"/>
        <w:ind w:left="288" w:hanging="216"/>
        <w:jc w:val="left"/>
      </w:pPr>
      <w:r>
        <w:rPr>
          <w:rFonts w:ascii="Times New Roman" w:hAnsi="Times New Roman"/>
          <w:b w:val="0"/>
          <w:i w:val="0"/>
          <w:sz w:val="21"/>
        </w:rPr>
      </w:r>
      <w:r>
        <w:rPr>
          <w:rFonts w:ascii="Times New Roman" w:hAnsi="Times New Roman"/>
          <w:b/>
          <w:i w:val="0"/>
          <w:sz w:val="21"/>
        </w:rPr>
        <w:t>Public Data Sources:</w:t>
      </w:r>
      <w:r>
        <w:rPr>
          <w:rFonts w:ascii="Times New Roman" w:hAnsi="Times New Roman"/>
          <w:b w:val="0"/>
          <w:i w:val="0"/>
          <w:sz w:val="21"/>
        </w:rPr>
        <w:t xml:space="preserve"> All historical OHLCV data sourced from the open-source `yfinance` API. Mutual fund schemas from the public AMFI portal. No proprietary or paywalled datasets were used.</w:t>
      </w:r>
    </w:p>
    <w:p>
      <w:pPr>
        <w:spacing w:before="0" w:after="20"/>
        <w:ind w:left="288" w:hanging="216"/>
        <w:jc w:val="left"/>
      </w:pPr>
      <w:r>
        <w:rPr>
          <w:rFonts w:ascii="Times New Roman" w:hAnsi="Times New Roman"/>
          <w:b w:val="0"/>
          <w:i w:val="0"/>
          <w:sz w:val="21"/>
        </w:rPr>
      </w:r>
      <w:r>
        <w:rPr>
          <w:rFonts w:ascii="Times New Roman" w:hAnsi="Times New Roman"/>
          <w:b/>
          <w:i w:val="0"/>
          <w:sz w:val="21"/>
        </w:rPr>
        <w:t>Deterministic Execution:</w:t>
      </w:r>
      <w:r>
        <w:rPr>
          <w:rFonts w:ascii="Times New Roman" w:hAnsi="Times New Roman"/>
          <w:b w:val="0"/>
          <w:i w:val="0"/>
          <w:sz w:val="21"/>
        </w:rPr>
        <w:t xml:space="preserve"> All random seeds in NumPy, TensorFlow, and LightGBM fixed at 42, ensuring bit-exact reproduction of all reported metrics.</w:t>
      </w:r>
    </w:p>
    <w:p>
      <w:pPr>
        <w:spacing w:before="0" w:after="20"/>
        <w:ind w:left="288" w:hanging="216"/>
        <w:jc w:val="left"/>
      </w:pPr>
      <w:r>
        <w:rPr>
          <w:rFonts w:ascii="Times New Roman" w:hAnsi="Times New Roman"/>
          <w:b w:val="0"/>
          <w:i w:val="0"/>
          <w:sz w:val="21"/>
        </w:rPr>
      </w:r>
      <w:r>
        <w:rPr>
          <w:rFonts w:ascii="Times New Roman" w:hAnsi="Times New Roman"/>
          <w:b/>
          <w:i w:val="0"/>
          <w:sz w:val="21"/>
        </w:rPr>
        <w:t>No Look-Ahead Bias:</w:t>
      </w:r>
      <w:r>
        <w:rPr>
          <w:rFonts w:ascii="Times New Roman" w:hAnsi="Times New Roman"/>
          <w:b w:val="0"/>
          <w:i w:val="0"/>
          <w:sz w:val="21"/>
        </w:rPr>
        <w:t xml:space="preserve"> The walk-forward engine's temporal train-test split structurally prevents future data leakage.</w:t>
      </w:r>
    </w:p>
    <w:p>
      <w:pPr>
        <w:spacing w:before="0" w:after="20"/>
        <w:ind w:left="288" w:hanging="216"/>
        <w:jc w:val="left"/>
      </w:pPr>
      <w:r>
        <w:rPr>
          <w:rFonts w:ascii="Times New Roman" w:hAnsi="Times New Roman"/>
          <w:b w:val="0"/>
          <w:i w:val="0"/>
          <w:sz w:val="21"/>
        </w:rPr>
      </w:r>
      <w:r>
        <w:rPr>
          <w:rFonts w:ascii="Times New Roman" w:hAnsi="Times New Roman"/>
          <w:b/>
          <w:i w:val="0"/>
          <w:sz w:val="21"/>
        </w:rPr>
        <w:t>Code Availability:</w:t>
      </w:r>
      <w:r>
        <w:rPr>
          <w:rFonts w:ascii="Times New Roman" w:hAnsi="Times New Roman"/>
          <w:b w:val="0"/>
          <w:i w:val="0"/>
          <w:sz w:val="21"/>
        </w:rPr>
        <w:t xml:space="preserve"> The complete Python source code for feature engineering, TCN architecture, MC Dropout uncertainty, SHAP explainability, LightGBM regime-aware stacking, and automated evaluation scripts is included in the project submission.</w:t>
      </w:r>
    </w:p>
    <w:p>
      <w:pPr>
        <w:spacing w:before="120" w:after="80"/>
        <w:jc w:val="center"/>
      </w:pPr>
      <w:r>
        <w:rPr>
          <w:rFonts w:ascii="Times New Roman" w:hAnsi="Times New Roman"/>
          <w:b/>
          <w:i w:val="0"/>
          <w:sz w:val="22"/>
        </w:rPr>
        <w:t>VII. CONCLUSION</w:t>
      </w:r>
    </w:p>
    <w:p>
      <w:pPr>
        <w:spacing w:before="0" w:after="40"/>
        <w:ind w:firstLine="288"/>
        <w:jc w:val="both"/>
      </w:pPr>
      <w:r>
        <w:rPr>
          <w:rFonts w:ascii="Times New Roman" w:hAnsi="Times New Roman"/>
          <w:b w:val="0"/>
          <w:i w:val="0"/>
          <w:sz w:val="21"/>
        </w:rPr>
        <w:t xml:space="preserve">This paper presented </w:t>
      </w:r>
      <w:r>
        <w:rPr>
          <w:rFonts w:ascii="Times New Roman" w:hAnsi="Times New Roman"/>
          <w:b w:val="0"/>
          <w:i/>
          <w:sz w:val="21"/>
        </w:rPr>
        <w:t>FinSight</w:t>
      </w:r>
      <w:r>
        <w:rPr>
          <w:rFonts w:ascii="Times New Roman" w:hAnsi="Times New Roman"/>
          <w:b w:val="0"/>
          <w:i w:val="0"/>
          <w:sz w:val="21"/>
        </w:rPr>
        <w:t xml:space="preserve">, a unified personal finance platform whose stock prediction module has been fundamentally redesigned. We demonstrated that replacing the LSTM (AUC: 0.4278) with an Attention-TCN resolves the vanishing gradient failure and produces AUC = </w:t>
      </w:r>
      <w:r>
        <w:rPr>
          <w:rFonts w:ascii="Times New Roman" w:hAnsi="Times New Roman"/>
          <w:b/>
          <w:i w:val="0"/>
          <w:sz w:val="21"/>
        </w:rPr>
        <w:t>0.5782</w:t>
      </w:r>
      <w:r>
        <w:rPr>
          <w:rFonts w:ascii="Times New Roman" w:hAnsi="Times New Roman"/>
          <w:b w:val="0"/>
          <w:i w:val="0"/>
          <w:sz w:val="21"/>
        </w:rPr>
        <w:t xml:space="preserve"> — a +0.1504 improvement that exceeds all classical baselines including Logistic Regression (0.4942) and Random Forest (0.4962).</w:t>
      </w:r>
    </w:p>
    <w:p>
      <w:pPr>
        <w:spacing w:before="0" w:after="40"/>
        <w:ind w:firstLine="288"/>
        <w:jc w:val="both"/>
      </w:pPr>
      <w:r>
        <w:rPr>
          <w:rFonts w:ascii="Times New Roman" w:hAnsi="Times New Roman"/>
          <w:b w:val="0"/>
          <w:i w:val="0"/>
          <w:sz w:val="21"/>
        </w:rPr>
        <w:t>A dedicated 20-trial Random Search tuning experiment confirmed that every proposed strategy (TCN standalone, LightGBM standalone, weighted blends, and LR meta-stackers) beats the Logistic Regression AUC baseline. The AUC-optimized meta-learner with rank-normalization and self-correcting fallback (Eq. 15–16) guarantees that the ensemble AUC cannot fall below the TCN standalone ceiling by construction.</w:t>
      </w:r>
    </w:p>
    <w:p>
      <w:pPr>
        <w:spacing w:before="0" w:after="40"/>
        <w:ind w:firstLine="288"/>
        <w:jc w:val="both"/>
      </w:pPr>
      <w:r>
        <w:rPr>
          <w:rFonts w:ascii="Times New Roman" w:hAnsi="Times New Roman"/>
          <w:b w:val="0"/>
          <w:i w:val="0"/>
          <w:sz w:val="21"/>
        </w:rPr>
        <w:t>The integration of Monte Carlo Dropout enables autonomous risk flagging when the neural network's predictive distribution is wide (σ̂ &gt; 0.15), as demonstrated live on TCS.NS where a 98.7% nominal confidence was correctly overridden as HIGH RISK. SHAP Explainability eliminates the black-box critique by providing per-signal feature attribution plots.</w:t>
      </w:r>
    </w:p>
    <w:p>
      <w:pPr>
        <w:spacing w:before="0" w:after="40"/>
        <w:ind w:firstLine="288"/>
        <w:jc w:val="both"/>
      </w:pPr>
      <w:r>
        <w:rPr>
          <w:rFonts w:ascii="Times New Roman" w:hAnsi="Times New Roman"/>
          <w:b w:val="0"/>
          <w:i w:val="0"/>
          <w:sz w:val="21"/>
        </w:rPr>
        <w:t>Cross-market robustness across NSE and NASDAQ, combined with controlled maximum drawdowns and positive Sharpe Ratios, validates the architecture's generalizability. The deterministic expert systems (CIBIL, SMS parser) retain near-perfect boundary accuracy.</w:t>
      </w:r>
    </w:p>
    <w:p>
      <w:pPr>
        <w:spacing w:before="0" w:after="40"/>
        <w:ind w:firstLine="288"/>
        <w:jc w:val="both"/>
      </w:pPr>
      <w:r>
        <w:rPr>
          <w:rFonts w:ascii="Times New Roman" w:hAnsi="Times New Roman"/>
          <w:b w:val="0"/>
          <w:i w:val="0"/>
          <w:sz w:val="21"/>
        </w:rPr>
        <w:t>Future directions include replacing the TCN with a Temporal Fusion Transformer for explicit multi-horizon attention weights, expanding the sentiment engine to include official regulatory filings (SEBI, SEC), and implementing federated learning for privacy-preserving model updates across user devices.</w:t>
      </w:r>
    </w:p>
    <w:p>
      <w:pPr>
        <w:spacing w:before="120" w:after="80"/>
        <w:jc w:val="center"/>
      </w:pPr>
      <w:r>
        <w:rPr>
          <w:rFonts w:ascii="Times New Roman" w:hAnsi="Times New Roman"/>
          <w:b/>
          <w:i w:val="0"/>
          <w:sz w:val="22"/>
        </w:rPr>
        <w:t>ACKNOWLEDGEMENT</w:t>
      </w:r>
    </w:p>
    <w:p>
      <w:pPr>
        <w:spacing w:before="0" w:after="40"/>
        <w:ind w:firstLine="288"/>
        <w:jc w:val="both"/>
      </w:pPr>
      <w:r>
        <w:rPr>
          <w:rFonts w:ascii="Times New Roman" w:hAnsi="Times New Roman"/>
          <w:b w:val="0"/>
          <w:i w:val="0"/>
          <w:sz w:val="21"/>
        </w:rPr>
        <w:t>The authors express sincere gratitude to the faculty and Department of Engineering, Sciences and Humanities (DESH), Vishwakarma Institute of Technology, for their guidance and support throughout this project.</w:t>
      </w:r>
    </w:p>
    <w:p>
      <w:pPr>
        <w:spacing w:before="120" w:after="80"/>
        <w:jc w:val="center"/>
      </w:pPr>
      <w:r>
        <w:rPr>
          <w:rFonts w:ascii="Times New Roman" w:hAnsi="Times New Roman"/>
          <w:b/>
          <w:i w:val="0"/>
          <w:sz w:val="22"/>
        </w:rPr>
        <w:t>REFERENCES</w:t>
      </w:r>
    </w:p>
    <w:p>
      <w:pPr>
        <w:spacing w:before="0" w:after="40"/>
        <w:ind w:left="360" w:hanging="360"/>
        <w:jc w:val="left"/>
      </w:pPr>
      <w:r>
        <w:rPr>
          <w:rFonts w:ascii="Times New Roman" w:hAnsi="Times New Roman"/>
          <w:b w:val="0"/>
          <w:i w:val="0"/>
          <w:sz w:val="18"/>
        </w:rPr>
        <w:t xml:space="preserve">[1] E. Chong, C. Han, and F. C. Park, "Deep Learning Networks for Stock Market Analysis and Prediction," </w:t>
      </w:r>
      <w:r>
        <w:rPr>
          <w:rFonts w:ascii="Times New Roman" w:hAnsi="Times New Roman"/>
          <w:b w:val="0"/>
          <w:i/>
          <w:sz w:val="18"/>
        </w:rPr>
        <w:t>Expert Systems with Applications</w:t>
      </w:r>
      <w:r>
        <w:rPr>
          <w:rFonts w:ascii="Times New Roman" w:hAnsi="Times New Roman"/>
          <w:b w:val="0"/>
          <w:i w:val="0"/>
          <w:sz w:val="18"/>
        </w:rPr>
        <w:t>, vol. 83, pp. 187-205, 2017.</w:t>
      </w:r>
    </w:p>
    <w:p>
      <w:pPr>
        <w:spacing w:before="0" w:after="40"/>
        <w:ind w:left="360" w:hanging="360"/>
        <w:jc w:val="left"/>
      </w:pPr>
      <w:r>
        <w:rPr>
          <w:rFonts w:ascii="Times New Roman" w:hAnsi="Times New Roman"/>
          <w:b w:val="0"/>
          <w:i w:val="0"/>
          <w:sz w:val="18"/>
        </w:rPr>
        <w:t xml:space="preserve">[2] G. Ke et al., "LightGBM: A Highly Efficient Gradient Boosting Decision Tree," </w:t>
      </w:r>
      <w:r>
        <w:rPr>
          <w:rFonts w:ascii="Times New Roman" w:hAnsi="Times New Roman"/>
          <w:b w:val="0"/>
          <w:i/>
          <w:sz w:val="18"/>
        </w:rPr>
        <w:t>NeurIPS</w:t>
      </w:r>
      <w:r>
        <w:rPr>
          <w:rFonts w:ascii="Times New Roman" w:hAnsi="Times New Roman"/>
          <w:b w:val="0"/>
          <w:i w:val="0"/>
          <w:sz w:val="18"/>
        </w:rPr>
        <w:t>, vol. 30, pp. 3146-3154, 2017.</w:t>
      </w:r>
    </w:p>
    <w:p>
      <w:pPr>
        <w:spacing w:before="0" w:after="40"/>
        <w:ind w:left="360" w:hanging="360"/>
        <w:jc w:val="left"/>
      </w:pPr>
      <w:r>
        <w:rPr>
          <w:rFonts w:ascii="Times New Roman" w:hAnsi="Times New Roman"/>
          <w:b w:val="0"/>
          <w:i w:val="0"/>
          <w:sz w:val="18"/>
        </w:rPr>
        <w:t xml:space="preserve">[3] T. Bollerslev, "Generalized Autoregressive Conditional Heteroskedasticity," </w:t>
      </w:r>
      <w:r>
        <w:rPr>
          <w:rFonts w:ascii="Times New Roman" w:hAnsi="Times New Roman"/>
          <w:b w:val="0"/>
          <w:i/>
          <w:sz w:val="18"/>
        </w:rPr>
        <w:t>Journal of Econometrics</w:t>
      </w:r>
      <w:r>
        <w:rPr>
          <w:rFonts w:ascii="Times New Roman" w:hAnsi="Times New Roman"/>
          <w:b w:val="0"/>
          <w:i w:val="0"/>
          <w:sz w:val="18"/>
        </w:rPr>
        <w:t>, vol. 31, no. 3, pp. 307-327, 1986.</w:t>
      </w:r>
    </w:p>
    <w:p>
      <w:pPr>
        <w:spacing w:before="0" w:after="40"/>
        <w:ind w:left="360" w:hanging="360"/>
        <w:jc w:val="left"/>
      </w:pPr>
      <w:r>
        <w:rPr>
          <w:rFonts w:ascii="Times New Roman" w:hAnsi="Times New Roman"/>
          <w:b w:val="0"/>
          <w:i w:val="0"/>
          <w:sz w:val="18"/>
        </w:rPr>
        <w:t xml:space="preserve">[4] J. Marcucci, "Forecasting Stock Market Volatility with Regime-Switching GARCH Models," </w:t>
      </w:r>
      <w:r>
        <w:rPr>
          <w:rFonts w:ascii="Times New Roman" w:hAnsi="Times New Roman"/>
          <w:b w:val="0"/>
          <w:i/>
          <w:sz w:val="18"/>
        </w:rPr>
        <w:t>Journal of Financial Econometrics</w:t>
      </w:r>
      <w:r>
        <w:rPr>
          <w:rFonts w:ascii="Times New Roman" w:hAnsi="Times New Roman"/>
          <w:b w:val="0"/>
          <w:i w:val="0"/>
          <w:sz w:val="18"/>
        </w:rPr>
        <w:t>, 2005.</w:t>
      </w:r>
    </w:p>
    <w:p>
      <w:pPr>
        <w:spacing w:before="0" w:after="40"/>
        <w:ind w:left="360" w:hanging="360"/>
        <w:jc w:val="left"/>
      </w:pPr>
      <w:r>
        <w:rPr>
          <w:rFonts w:ascii="Times New Roman" w:hAnsi="Times New Roman"/>
          <w:b w:val="0"/>
          <w:i w:val="0"/>
          <w:sz w:val="18"/>
        </w:rPr>
        <w:t xml:space="preserve">[5] J. Devlin et al., "BERT: Pre-training of Deep Bidirectional Transformers," </w:t>
      </w:r>
      <w:r>
        <w:rPr>
          <w:rFonts w:ascii="Times New Roman" w:hAnsi="Times New Roman"/>
          <w:b w:val="0"/>
          <w:i/>
          <w:sz w:val="18"/>
        </w:rPr>
        <w:t>NAACL-HLT</w:t>
      </w:r>
      <w:r>
        <w:rPr>
          <w:rFonts w:ascii="Times New Roman" w:hAnsi="Times New Roman"/>
          <w:b w:val="0"/>
          <w:i w:val="0"/>
          <w:sz w:val="18"/>
        </w:rPr>
        <w:t>, pp. 4171-4186, 2019.</w:t>
      </w:r>
    </w:p>
    <w:p>
      <w:pPr>
        <w:spacing w:before="0" w:after="40"/>
        <w:ind w:left="360" w:hanging="360"/>
        <w:jc w:val="left"/>
      </w:pPr>
      <w:r>
        <w:rPr>
          <w:rFonts w:ascii="Times New Roman" w:hAnsi="Times New Roman"/>
          <w:b w:val="0"/>
          <w:i w:val="0"/>
          <w:sz w:val="18"/>
        </w:rPr>
        <w:t xml:space="preserve">[6] D. Araci, "FinBERT: Financial Sentiment Analysis with Pre-trained Language Models," </w:t>
      </w:r>
      <w:r>
        <w:rPr>
          <w:rFonts w:ascii="Times New Roman" w:hAnsi="Times New Roman"/>
          <w:b w:val="0"/>
          <w:i/>
          <w:sz w:val="18"/>
        </w:rPr>
        <w:t>arXiv:1908.10063</w:t>
      </w:r>
      <w:r>
        <w:rPr>
          <w:rFonts w:ascii="Times New Roman" w:hAnsi="Times New Roman"/>
          <w:b w:val="0"/>
          <w:i w:val="0"/>
          <w:sz w:val="18"/>
        </w:rPr>
        <w:t>, 2019.</w:t>
      </w:r>
    </w:p>
    <w:p>
      <w:pPr>
        <w:spacing w:before="0" w:after="40"/>
        <w:ind w:left="360" w:hanging="360"/>
        <w:jc w:val="left"/>
      </w:pPr>
      <w:r>
        <w:rPr>
          <w:rFonts w:ascii="Times New Roman" w:hAnsi="Times New Roman"/>
          <w:b w:val="0"/>
          <w:i w:val="0"/>
          <w:sz w:val="18"/>
        </w:rPr>
        <w:t xml:space="preserve">[7] M. Kraus and S. Feuerriegel, "Decision Support from Financial Disclosures with Deep Neural Networks," </w:t>
      </w:r>
      <w:r>
        <w:rPr>
          <w:rFonts w:ascii="Times New Roman" w:hAnsi="Times New Roman"/>
          <w:b w:val="0"/>
          <w:i/>
          <w:sz w:val="18"/>
        </w:rPr>
        <w:t>Decision Support Systems</w:t>
      </w:r>
      <w:r>
        <w:rPr>
          <w:rFonts w:ascii="Times New Roman" w:hAnsi="Times New Roman"/>
          <w:b w:val="0"/>
          <w:i w:val="0"/>
          <w:sz w:val="18"/>
        </w:rPr>
        <w:t>, vol. 104, pp. 38-48, 2017.</w:t>
      </w:r>
    </w:p>
    <w:p>
      <w:pPr>
        <w:spacing w:before="0" w:after="40"/>
        <w:ind w:left="360" w:hanging="360"/>
        <w:jc w:val="left"/>
      </w:pPr>
      <w:r>
        <w:rPr>
          <w:rFonts w:ascii="Times New Roman" w:hAnsi="Times New Roman"/>
          <w:b w:val="0"/>
          <w:i w:val="0"/>
          <w:sz w:val="18"/>
        </w:rPr>
        <w:t xml:space="preserve">[8] I. K. Nti et al., "A Comprehensive Evaluation of Ensemble Learning for Stock-Market Prediction," </w:t>
      </w:r>
      <w:r>
        <w:rPr>
          <w:rFonts w:ascii="Times New Roman" w:hAnsi="Times New Roman"/>
          <w:b w:val="0"/>
          <w:i/>
          <w:sz w:val="18"/>
        </w:rPr>
        <w:t>Journal of Big Data</w:t>
      </w:r>
      <w:r>
        <w:rPr>
          <w:rFonts w:ascii="Times New Roman" w:hAnsi="Times New Roman"/>
          <w:b w:val="0"/>
          <w:i w:val="0"/>
          <w:sz w:val="18"/>
        </w:rPr>
        <w:t>, vol. 7, no. 20, 2020.</w:t>
      </w:r>
    </w:p>
    <w:p>
      <w:pPr>
        <w:spacing w:before="0" w:after="40"/>
        <w:ind w:left="360" w:hanging="360"/>
        <w:jc w:val="left"/>
      </w:pPr>
      <w:r>
        <w:rPr>
          <w:rFonts w:ascii="Times New Roman" w:hAnsi="Times New Roman"/>
          <w:b w:val="0"/>
          <w:i w:val="0"/>
          <w:sz w:val="18"/>
        </w:rPr>
        <w:t xml:space="preserve">[9] Y. Xu and V. Keselj, "Stock Prediction Using Deep Learning and Sentiment Analysis," </w:t>
      </w:r>
      <w:r>
        <w:rPr>
          <w:rFonts w:ascii="Times New Roman" w:hAnsi="Times New Roman"/>
          <w:b w:val="0"/>
          <w:i/>
          <w:sz w:val="18"/>
        </w:rPr>
        <w:t>IEEE Big Data</w:t>
      </w:r>
      <w:r>
        <w:rPr>
          <w:rFonts w:ascii="Times New Roman" w:hAnsi="Times New Roman"/>
          <w:b w:val="0"/>
          <w:i w:val="0"/>
          <w:sz w:val="18"/>
        </w:rPr>
        <w:t>, pp. 5573-5580, 2019.</w:t>
      </w:r>
    </w:p>
    <w:p>
      <w:pPr>
        <w:spacing w:before="0" w:after="40"/>
        <w:ind w:left="360" w:hanging="360"/>
        <w:jc w:val="left"/>
      </w:pPr>
      <w:r>
        <w:rPr>
          <w:rFonts w:ascii="Times New Roman" w:hAnsi="Times New Roman"/>
          <w:b w:val="0"/>
          <w:i w:val="0"/>
          <w:sz w:val="18"/>
        </w:rPr>
        <w:t xml:space="preserve">[10] P. Akioyamen et al., "A Hybrid Learning Approach to Detecting Regime Switches," </w:t>
      </w:r>
      <w:r>
        <w:rPr>
          <w:rFonts w:ascii="Times New Roman" w:hAnsi="Times New Roman"/>
          <w:b w:val="0"/>
          <w:i/>
          <w:sz w:val="18"/>
        </w:rPr>
        <w:t>ICAIF</w:t>
      </w:r>
      <w:r>
        <w:rPr>
          <w:rFonts w:ascii="Times New Roman" w:hAnsi="Times New Roman"/>
          <w:b w:val="0"/>
          <w:i w:val="0"/>
          <w:sz w:val="18"/>
        </w:rPr>
        <w:t>, 2020.</w:t>
      </w:r>
    </w:p>
    <w:p>
      <w:pPr>
        <w:spacing w:before="0" w:after="40"/>
        <w:ind w:left="360" w:hanging="360"/>
        <w:jc w:val="left"/>
      </w:pPr>
      <w:r>
        <w:rPr>
          <w:rFonts w:ascii="Times New Roman" w:hAnsi="Times New Roman"/>
          <w:b w:val="0"/>
          <w:i w:val="0"/>
          <w:sz w:val="18"/>
        </w:rPr>
        <w:t xml:space="preserve">[11] F. Z. Xing et al., "Natural Language Based Financial Forecasting: A Survey," </w:t>
      </w:r>
      <w:r>
        <w:rPr>
          <w:rFonts w:ascii="Times New Roman" w:hAnsi="Times New Roman"/>
          <w:b w:val="0"/>
          <w:i/>
          <w:sz w:val="18"/>
        </w:rPr>
        <w:t>Artificial Intelligence Review</w:t>
      </w:r>
      <w:r>
        <w:rPr>
          <w:rFonts w:ascii="Times New Roman" w:hAnsi="Times New Roman"/>
          <w:b w:val="0"/>
          <w:i w:val="0"/>
          <w:sz w:val="18"/>
        </w:rPr>
        <w:t>, 2018.</w:t>
      </w:r>
    </w:p>
    <w:p>
      <w:pPr>
        <w:spacing w:before="0" w:after="40"/>
        <w:ind w:left="360" w:hanging="360"/>
        <w:jc w:val="left"/>
      </w:pPr>
      <w:r>
        <w:rPr>
          <w:rFonts w:ascii="Times New Roman" w:hAnsi="Times New Roman"/>
          <w:b w:val="0"/>
          <w:i w:val="0"/>
          <w:sz w:val="18"/>
        </w:rPr>
        <w:t xml:space="preserve">[12] S. Bai, J. Z. Kolter, and V. Koltun, "An Empirical Evaluation of Generic Convolutional and Recurrent Networks for Sequence Modeling," </w:t>
      </w:r>
      <w:r>
        <w:rPr>
          <w:rFonts w:ascii="Times New Roman" w:hAnsi="Times New Roman"/>
          <w:b w:val="0"/>
          <w:i/>
          <w:sz w:val="18"/>
        </w:rPr>
        <w:t>arXiv:1803.01271</w:t>
      </w:r>
      <w:r>
        <w:rPr>
          <w:rFonts w:ascii="Times New Roman" w:hAnsi="Times New Roman"/>
          <w:b w:val="0"/>
          <w:i w:val="0"/>
          <w:sz w:val="18"/>
        </w:rPr>
        <w:t>, 2018.</w:t>
      </w:r>
    </w:p>
    <w:p>
      <w:pPr>
        <w:spacing w:before="0" w:after="40"/>
        <w:ind w:left="360" w:hanging="360"/>
        <w:jc w:val="left"/>
      </w:pPr>
      <w:r>
        <w:rPr>
          <w:rFonts w:ascii="Times New Roman" w:hAnsi="Times New Roman"/>
          <w:b w:val="0"/>
          <w:i w:val="0"/>
          <w:sz w:val="18"/>
        </w:rPr>
        <w:t xml:space="preserve">[13] Y. Gal and Z. Ghahramani, "Dropout as a Bayesian Approximation: Representing Model Uncertainty in Deep Learning," </w:t>
      </w:r>
      <w:r>
        <w:rPr>
          <w:rFonts w:ascii="Times New Roman" w:hAnsi="Times New Roman"/>
          <w:b w:val="0"/>
          <w:i/>
          <w:sz w:val="18"/>
        </w:rPr>
        <w:t>ICML</w:t>
      </w:r>
      <w:r>
        <w:rPr>
          <w:rFonts w:ascii="Times New Roman" w:hAnsi="Times New Roman"/>
          <w:b w:val="0"/>
          <w:i w:val="0"/>
          <w:sz w:val="18"/>
        </w:rPr>
        <w:t>, 2016.</w:t>
      </w:r>
    </w:p>
    <w:p>
      <w:pPr>
        <w:spacing w:before="0" w:after="40"/>
        <w:ind w:left="360" w:hanging="360"/>
        <w:jc w:val="left"/>
      </w:pPr>
      <w:r>
        <w:rPr>
          <w:rFonts w:ascii="Times New Roman" w:hAnsi="Times New Roman"/>
          <w:b w:val="0"/>
          <w:i w:val="0"/>
          <w:sz w:val="18"/>
        </w:rPr>
        <w:t xml:space="preserve">[14] S. M. Lundberg and S.-I. Lee, "A Unified Approach to Interpreting Model Predictions," </w:t>
      </w:r>
      <w:r>
        <w:rPr>
          <w:rFonts w:ascii="Times New Roman" w:hAnsi="Times New Roman"/>
          <w:b w:val="0"/>
          <w:i/>
          <w:sz w:val="18"/>
        </w:rPr>
        <w:t>NeurIPS</w:t>
      </w:r>
      <w:r>
        <w:rPr>
          <w:rFonts w:ascii="Times New Roman" w:hAnsi="Times New Roman"/>
          <w:b w:val="0"/>
          <w:i w:val="0"/>
          <w:sz w:val="18"/>
        </w:rPr>
        <w:t>, 2017.</w:t>
      </w:r>
    </w:p>
    <w:p>
      <w:pPr>
        <w:spacing w:before="0" w:after="40"/>
        <w:ind w:left="360" w:hanging="360"/>
        <w:jc w:val="left"/>
      </w:pPr>
      <w:r>
        <w:rPr>
          <w:rFonts w:ascii="Times New Roman" w:hAnsi="Times New Roman"/>
          <w:b w:val="0"/>
          <w:i w:val="0"/>
          <w:sz w:val="18"/>
        </w:rPr>
        <w:t xml:space="preserve">[15] N. Bussmann et al., "Explainable Machine Learning in Credit Risk Management," </w:t>
      </w:r>
      <w:r>
        <w:rPr>
          <w:rFonts w:ascii="Times New Roman" w:hAnsi="Times New Roman"/>
          <w:b w:val="0"/>
          <w:i/>
          <w:sz w:val="18"/>
        </w:rPr>
        <w:t>Computational Economics</w:t>
      </w:r>
      <w:r>
        <w:rPr>
          <w:rFonts w:ascii="Times New Roman" w:hAnsi="Times New Roman"/>
          <w:b w:val="0"/>
          <w:i w:val="0"/>
          <w:sz w:val="18"/>
        </w:rPr>
        <w:t>, vol. 57, pp. 203-216, 2021.</w:t>
      </w:r>
    </w:p>
    <w:p>
      <w:pPr>
        <w:spacing w:before="0" w:after="40"/>
        <w:ind w:left="360" w:hanging="360"/>
        <w:jc w:val="left"/>
      </w:pPr>
      <w:r>
        <w:rPr>
          <w:rFonts w:ascii="Times New Roman" w:hAnsi="Times New Roman"/>
          <w:b w:val="0"/>
          <w:i w:val="0"/>
          <w:sz w:val="18"/>
        </w:rPr>
        <w:t xml:space="preserve">[16] S. A. Gyamerah et al., "On Stock Market Movement Prediction via Stacking Ensemble Learning Method," </w:t>
      </w:r>
      <w:r>
        <w:rPr>
          <w:rFonts w:ascii="Times New Roman" w:hAnsi="Times New Roman"/>
          <w:b w:val="0"/>
          <w:i/>
          <w:sz w:val="18"/>
        </w:rPr>
        <w:t>IEEE</w:t>
      </w:r>
      <w:r>
        <w:rPr>
          <w:rFonts w:ascii="Times New Roman" w:hAnsi="Times New Roman"/>
          <w:b w:val="0"/>
          <w:i w:val="0"/>
          <w:sz w:val="18"/>
        </w:rPr>
        <w:t>, 2019.</w:t>
      </w:r>
    </w:p>
    <w:p>
      <w:pPr>
        <w:spacing w:before="0" w:after="40"/>
        <w:ind w:left="360" w:hanging="360"/>
        <w:jc w:val="left"/>
      </w:pPr>
      <w:r>
        <w:rPr>
          <w:rFonts w:ascii="Times New Roman" w:hAnsi="Times New Roman"/>
          <w:b w:val="0"/>
          <w:i w:val="0"/>
          <w:sz w:val="18"/>
        </w:rPr>
        <w:t xml:space="preserve">[17] A. Vaswani et al., "Attention is All You Need," </w:t>
      </w:r>
      <w:r>
        <w:rPr>
          <w:rFonts w:ascii="Times New Roman" w:hAnsi="Times New Roman"/>
          <w:b w:val="0"/>
          <w:i/>
          <w:sz w:val="18"/>
        </w:rPr>
        <w:t>NeurIPS</w:t>
      </w:r>
      <w:r>
        <w:rPr>
          <w:rFonts w:ascii="Times New Roman" w:hAnsi="Times New Roman"/>
          <w:b w:val="0"/>
          <w:i w:val="0"/>
          <w:sz w:val="18"/>
        </w:rPr>
        <w:t>, vol. 30, 2017.</w:t>
      </w:r>
    </w:p>
    <w:p>
      <w:pPr>
        <w:spacing w:before="0" w:after="40"/>
        <w:ind w:left="360" w:hanging="360"/>
        <w:jc w:val="left"/>
      </w:pPr>
      <w:r>
        <w:rPr>
          <w:rFonts w:ascii="Times New Roman" w:hAnsi="Times New Roman"/>
          <w:b w:val="0"/>
          <w:i w:val="0"/>
          <w:sz w:val="18"/>
        </w:rPr>
        <w:t xml:space="preserve">[18] N. Srivastava et al., "Dropout: A Simple Way to Prevent Neural Networks from Overfitting," </w:t>
      </w:r>
      <w:r>
        <w:rPr>
          <w:rFonts w:ascii="Times New Roman" w:hAnsi="Times New Roman"/>
          <w:b w:val="0"/>
          <w:i/>
          <w:sz w:val="18"/>
        </w:rPr>
        <w:t>JMLR</w:t>
      </w:r>
      <w:r>
        <w:rPr>
          <w:rFonts w:ascii="Times New Roman" w:hAnsi="Times New Roman"/>
          <w:b w:val="0"/>
          <w:i w:val="0"/>
          <w:sz w:val="18"/>
        </w:rPr>
        <w:t>, vol. 15, pp. 1929-1958, 2014.</w:t>
      </w:r>
    </w:p>
    <w:p>
      <w:pPr>
        <w:spacing w:before="0" w:after="40"/>
        <w:ind w:left="360" w:hanging="360"/>
        <w:jc w:val="left"/>
      </w:pPr>
      <w:r>
        <w:rPr>
          <w:rFonts w:ascii="Times New Roman" w:hAnsi="Times New Roman"/>
          <w:b w:val="0"/>
          <w:i w:val="0"/>
          <w:sz w:val="18"/>
        </w:rPr>
        <w:t xml:space="preserve">[19] E. F. Fama, "Efficient Capital Markets: A Review of Theory and Empirical Work," </w:t>
      </w:r>
      <w:r>
        <w:rPr>
          <w:rFonts w:ascii="Times New Roman" w:hAnsi="Times New Roman"/>
          <w:b w:val="0"/>
          <w:i/>
          <w:sz w:val="18"/>
        </w:rPr>
        <w:t>The Journal of Finance</w:t>
      </w:r>
      <w:r>
        <w:rPr>
          <w:rFonts w:ascii="Times New Roman" w:hAnsi="Times New Roman"/>
          <w:b w:val="0"/>
          <w:i w:val="0"/>
          <w:sz w:val="18"/>
        </w:rPr>
        <w:t>, vol. 25, no. 2, pp. 383-417, 1970.</w:t>
      </w:r>
    </w:p>
    <w:p>
      <w:pPr>
        <w:spacing w:before="0" w:after="40"/>
        <w:ind w:left="360" w:hanging="360"/>
        <w:jc w:val="left"/>
      </w:pPr>
      <w:r>
        <w:rPr>
          <w:rFonts w:ascii="Times New Roman" w:hAnsi="Times New Roman"/>
          <w:b w:val="0"/>
          <w:i w:val="0"/>
          <w:sz w:val="18"/>
        </w:rPr>
        <w:t xml:space="preserve">[20] M. Al Ridhawi et al., "Adaptive Regime-Aware Stock Price Prediction Using Autoencoder-Gated Dual Node Transformers," </w:t>
      </w:r>
      <w:r>
        <w:rPr>
          <w:rFonts w:ascii="Times New Roman" w:hAnsi="Times New Roman"/>
          <w:b w:val="0"/>
          <w:i/>
          <w:sz w:val="18"/>
        </w:rPr>
        <w:t>Applied Sciences</w:t>
      </w:r>
      <w:r>
        <w:rPr>
          <w:rFonts w:ascii="Times New Roman" w:hAnsi="Times New Roman"/>
          <w:b w:val="0"/>
          <w:i w:val="0"/>
          <w:sz w:val="18"/>
        </w:rPr>
        <w:t>, 2023.</w:t>
      </w:r>
    </w:p>
    <w:p>
      <w:pPr>
        <w:spacing w:before="0" w:after="40"/>
        <w:ind w:left="360" w:hanging="360"/>
        <w:jc w:val="left"/>
      </w:pPr>
      <w:r>
        <w:rPr>
          <w:rFonts w:ascii="Times New Roman" w:hAnsi="Times New Roman"/>
          <w:b w:val="0"/>
          <w:i w:val="0"/>
          <w:sz w:val="18"/>
        </w:rPr>
        <w:t xml:space="preserve">[21] R. C. Cavalcante et al., "Computational Intelligence and Financial Markets: A Survey," </w:t>
      </w:r>
      <w:r>
        <w:rPr>
          <w:rFonts w:ascii="Times New Roman" w:hAnsi="Times New Roman"/>
          <w:b w:val="0"/>
          <w:i/>
          <w:sz w:val="18"/>
        </w:rPr>
        <w:t>Expert Systems with Applications</w:t>
      </w:r>
      <w:r>
        <w:rPr>
          <w:rFonts w:ascii="Times New Roman" w:hAnsi="Times New Roman"/>
          <w:b w:val="0"/>
          <w:i w:val="0"/>
          <w:sz w:val="18"/>
        </w:rPr>
        <w:t>, vol. 55, pp. 194-211, 2016.</w:t>
      </w:r>
    </w:p>
    <w:p>
      <w:pPr>
        <w:spacing w:before="0" w:after="40"/>
        <w:ind w:left="360" w:hanging="360"/>
        <w:jc w:val="left"/>
      </w:pPr>
      <w:r>
        <w:rPr>
          <w:rFonts w:ascii="Times New Roman" w:hAnsi="Times New Roman"/>
          <w:b w:val="0"/>
          <w:i w:val="0"/>
          <w:sz w:val="18"/>
        </w:rPr>
        <w:t xml:space="preserve">[22] O. B. Sezer, M. U. Gudelek, and A. M. Ozbayoglu, "Financial time series forecasting with deep learning: A systematic literature review: 2005-2019," </w:t>
      </w:r>
      <w:r>
        <w:rPr>
          <w:rFonts w:ascii="Times New Roman" w:hAnsi="Times New Roman"/>
          <w:b w:val="0"/>
          <w:i/>
          <w:sz w:val="18"/>
        </w:rPr>
        <w:t>Applied Soft Computing</w:t>
      </w:r>
      <w:r>
        <w:rPr>
          <w:rFonts w:ascii="Times New Roman" w:hAnsi="Times New Roman"/>
          <w:b w:val="0"/>
          <w:i w:val="0"/>
          <w:sz w:val="18"/>
        </w:rPr>
        <w:t>, vol. 90, p. 106181, 2020.</w:t>
      </w:r>
    </w:p>
    <w:p>
      <w:pPr>
        <w:spacing w:before="0" w:after="40"/>
        <w:ind w:left="360" w:hanging="360"/>
        <w:jc w:val="left"/>
      </w:pPr>
      <w:r>
        <w:rPr>
          <w:rFonts w:ascii="Times New Roman" w:hAnsi="Times New Roman"/>
          <w:b w:val="0"/>
          <w:i w:val="0"/>
          <w:sz w:val="18"/>
        </w:rPr>
        <w:t xml:space="preserve">[23] H. Borovykh, S. Bohte, and C. W. Oosterlee, "Conditional Time Series Forecasting with Convolutional Neural Networks," </w:t>
      </w:r>
      <w:r>
        <w:rPr>
          <w:rFonts w:ascii="Times New Roman" w:hAnsi="Times New Roman"/>
          <w:b w:val="0"/>
          <w:i/>
          <w:sz w:val="18"/>
        </w:rPr>
        <w:t>arXiv:1703.04691</w:t>
      </w:r>
      <w:r>
        <w:rPr>
          <w:rFonts w:ascii="Times New Roman" w:hAnsi="Times New Roman"/>
          <w:b w:val="0"/>
          <w:i w:val="0"/>
          <w:sz w:val="18"/>
        </w:rPr>
        <w:t>, 2017.</w:t>
      </w:r>
    </w:p>
    <w:p>
      <w:pPr>
        <w:spacing w:before="0" w:after="40"/>
        <w:ind w:left="360" w:hanging="360"/>
        <w:jc w:val="left"/>
      </w:pPr>
      <w:r>
        <w:rPr>
          <w:rFonts w:ascii="Times New Roman" w:hAnsi="Times New Roman"/>
          <w:b w:val="0"/>
          <w:i w:val="0"/>
          <w:sz w:val="18"/>
        </w:rPr>
        <w:t xml:space="preserve">[24] A. Niculescu-Mizil and R. Caruana, "Predicting Good Probabilities With Supervised Learning," </w:t>
      </w:r>
      <w:r>
        <w:rPr>
          <w:rFonts w:ascii="Times New Roman" w:hAnsi="Times New Roman"/>
          <w:b w:val="0"/>
          <w:i/>
          <w:sz w:val="18"/>
        </w:rPr>
        <w:t>ICML</w:t>
      </w:r>
      <w:r>
        <w:rPr>
          <w:rFonts w:ascii="Times New Roman" w:hAnsi="Times New Roman"/>
          <w:b w:val="0"/>
          <w:i w:val="0"/>
          <w:sz w:val="18"/>
        </w:rPr>
        <w:t>, 2005.</w:t>
      </w:r>
    </w:p>
    <w:p>
      <w:pPr>
        <w:spacing w:before="0" w:after="40"/>
        <w:ind w:left="360" w:hanging="360"/>
        <w:jc w:val="left"/>
      </w:pPr>
      <w:r>
        <w:rPr>
          <w:rFonts w:ascii="Times New Roman" w:hAnsi="Times New Roman"/>
          <w:b w:val="0"/>
          <w:i w:val="0"/>
          <w:sz w:val="18"/>
        </w:rPr>
        <w:t xml:space="preserve">[25] J. Bracke, A. Datta, C. Jung, and S. Sen, "Machine Learning Explainability in Finance: An Application to Default Risk Analysis," </w:t>
      </w:r>
      <w:r>
        <w:rPr>
          <w:rFonts w:ascii="Times New Roman" w:hAnsi="Times New Roman"/>
          <w:b w:val="0"/>
          <w:i/>
          <w:sz w:val="18"/>
        </w:rPr>
        <w:t>Bank of England Working Paper</w:t>
      </w:r>
      <w:r>
        <w:rPr>
          <w:rFonts w:ascii="Times New Roman" w:hAnsi="Times New Roman"/>
          <w:b w:val="0"/>
          <w:i w:val="0"/>
          <w:sz w:val="18"/>
        </w:rPr>
        <w:t>, 2019.</w:t>
      </w:r>
    </w:p>
    <w:p>
      <w:pPr>
        <w:spacing w:before="0" w:after="40"/>
        <w:ind w:left="360" w:hanging="360"/>
        <w:jc w:val="left"/>
      </w:pPr>
      <w:r>
        <w:rPr>
          <w:rFonts w:ascii="Times New Roman" w:hAnsi="Times New Roman"/>
          <w:b w:val="0"/>
          <w:i w:val="0"/>
          <w:sz w:val="18"/>
        </w:rPr>
        <w:t xml:space="preserve">[26] M. Lopez de Prado, "Advances in Financial Machine Learning," </w:t>
      </w:r>
      <w:r>
        <w:rPr>
          <w:rFonts w:ascii="Times New Roman" w:hAnsi="Times New Roman"/>
          <w:b w:val="0"/>
          <w:i/>
          <w:sz w:val="18"/>
        </w:rPr>
        <w:t>John Wiley &amp; Sons</w:t>
      </w:r>
      <w:r>
        <w:rPr>
          <w:rFonts w:ascii="Times New Roman" w:hAnsi="Times New Roman"/>
          <w:b w:val="0"/>
          <w:i w:val="0"/>
          <w:sz w:val="18"/>
        </w:rPr>
        <w:t>, 2018.</w:t>
      </w:r>
    </w:p>
    <w:p>
      <w:pPr>
        <w:spacing w:before="0" w:after="40"/>
        <w:ind w:left="360" w:hanging="360"/>
        <w:jc w:val="left"/>
      </w:pPr>
      <w:r>
        <w:rPr>
          <w:rFonts w:ascii="Times New Roman" w:hAnsi="Times New Roman"/>
          <w:b w:val="0"/>
          <w:i w:val="0"/>
          <w:sz w:val="18"/>
        </w:rPr>
        <w:t xml:space="preserve">[27] C. Cortes and M. Mohri, "AUC Optimization vs. Error Rate Minimization," </w:t>
      </w:r>
      <w:r>
        <w:rPr>
          <w:rFonts w:ascii="Times New Roman" w:hAnsi="Times New Roman"/>
          <w:b w:val="0"/>
          <w:i/>
          <w:sz w:val="18"/>
        </w:rPr>
        <w:t>NIPS</w:t>
      </w:r>
      <w:r>
        <w:rPr>
          <w:rFonts w:ascii="Times New Roman" w:hAnsi="Times New Roman"/>
          <w:b w:val="0"/>
          <w:i w:val="0"/>
          <w:sz w:val="18"/>
        </w:rPr>
        <w:t>, 2003.</w:t>
      </w:r>
    </w:p>
    <w:p>
      <w:pPr>
        <w:spacing w:before="0" w:after="40"/>
        <w:ind w:left="360" w:hanging="360"/>
        <w:jc w:val="left"/>
      </w:pPr>
      <w:r>
        <w:rPr>
          <w:rFonts w:ascii="Times New Roman" w:hAnsi="Times New Roman"/>
          <w:b w:val="0"/>
          <w:i w:val="0"/>
          <w:sz w:val="18"/>
        </w:rPr>
        <w:t xml:space="preserve">[28] S. Li et al., "Enhancing the Locality and Breaking the Memory Bottleneck of Transformer on Time Series Forecasting," </w:t>
      </w:r>
      <w:r>
        <w:rPr>
          <w:rFonts w:ascii="Times New Roman" w:hAnsi="Times New Roman"/>
          <w:b w:val="0"/>
          <w:i/>
          <w:sz w:val="18"/>
        </w:rPr>
        <w:t>NeurIPS</w:t>
      </w:r>
      <w:r>
        <w:rPr>
          <w:rFonts w:ascii="Times New Roman" w:hAnsi="Times New Roman"/>
          <w:b w:val="0"/>
          <w:i w:val="0"/>
          <w:sz w:val="18"/>
        </w:rPr>
        <w:t>, 2019.</w:t>
      </w:r>
    </w:p>
    <w:p>
      <w:pPr>
        <w:spacing w:before="0" w:after="40"/>
        <w:ind w:left="360" w:hanging="360"/>
        <w:jc w:val="left"/>
      </w:pPr>
      <w:r>
        <w:rPr>
          <w:rFonts w:ascii="Times New Roman" w:hAnsi="Times New Roman"/>
          <w:b w:val="0"/>
          <w:i w:val="0"/>
          <w:sz w:val="18"/>
        </w:rPr>
        <w:t xml:space="preserve">[29] L. Rokach, "Ensemble-based classifiers," </w:t>
      </w:r>
      <w:r>
        <w:rPr>
          <w:rFonts w:ascii="Times New Roman" w:hAnsi="Times New Roman"/>
          <w:b w:val="0"/>
          <w:i/>
          <w:sz w:val="18"/>
        </w:rPr>
        <w:t>Artificial Intelligence Review</w:t>
      </w:r>
      <w:r>
        <w:rPr>
          <w:rFonts w:ascii="Times New Roman" w:hAnsi="Times New Roman"/>
          <w:b w:val="0"/>
          <w:i w:val="0"/>
          <w:sz w:val="18"/>
        </w:rPr>
        <w:t>, vol. 33, no. 1-2, pp. 1-39, 2010.</w:t>
      </w:r>
    </w:p>
    <w:p>
      <w:pPr>
        <w:spacing w:before="0" w:after="40"/>
        <w:ind w:left="360" w:hanging="360"/>
        <w:jc w:val="left"/>
      </w:pPr>
      <w:r>
        <w:rPr>
          <w:rFonts w:ascii="Times New Roman" w:hAnsi="Times New Roman"/>
          <w:b w:val="0"/>
          <w:i w:val="0"/>
          <w:sz w:val="18"/>
        </w:rPr>
        <w:t xml:space="preserve">[30] A. Tsantekidis et al., "Forecasting Stock Prices from the Limit Order Book using Convolutional Neural Networks," </w:t>
      </w:r>
      <w:r>
        <w:rPr>
          <w:rFonts w:ascii="Times New Roman" w:hAnsi="Times New Roman"/>
          <w:b w:val="0"/>
          <w:i/>
          <w:sz w:val="18"/>
        </w:rPr>
        <w:t>CBI</w:t>
      </w:r>
      <w:r>
        <w:rPr>
          <w:rFonts w:ascii="Times New Roman" w:hAnsi="Times New Roman"/>
          <w:b w:val="0"/>
          <w:i w:val="0"/>
          <w:sz w:val="18"/>
        </w:rPr>
        <w:t>, 2017.</w:t>
      </w:r>
    </w:p>
    <w:p>
      <w:pPr>
        <w:spacing w:before="0" w:after="40"/>
        <w:ind w:left="360" w:hanging="360"/>
        <w:jc w:val="left"/>
      </w:pPr>
      <w:r>
        <w:rPr>
          <w:rFonts w:ascii="Times New Roman" w:hAnsi="Times New Roman"/>
          <w:b w:val="0"/>
          <w:i w:val="0"/>
          <w:sz w:val="18"/>
        </w:rPr>
        <w:t xml:space="preserve">[31] T. Chen and C. Guestrin, "XGBoost: A Scalable Tree Boosting System," </w:t>
      </w:r>
      <w:r>
        <w:rPr>
          <w:rFonts w:ascii="Times New Roman" w:hAnsi="Times New Roman"/>
          <w:b w:val="0"/>
          <w:i/>
          <w:sz w:val="18"/>
        </w:rPr>
        <w:t>KDD</w:t>
      </w:r>
      <w:r>
        <w:rPr>
          <w:rFonts w:ascii="Times New Roman" w:hAnsi="Times New Roman"/>
          <w:b w:val="0"/>
          <w:i w:val="0"/>
          <w:sz w:val="18"/>
        </w:rPr>
        <w:t>, 2016.</w:t>
      </w:r>
    </w:p>
    <w:p>
      <w:pPr>
        <w:spacing w:before="0" w:after="40"/>
        <w:ind w:left="360" w:hanging="360"/>
        <w:jc w:val="left"/>
      </w:pPr>
      <w:r>
        <w:rPr>
          <w:rFonts w:ascii="Times New Roman" w:hAnsi="Times New Roman"/>
          <w:b w:val="0"/>
          <w:i w:val="0"/>
          <w:sz w:val="18"/>
        </w:rPr>
        <w:t xml:space="preserve">[32] C. J. Huang and P. H. Kuo, "A Deep CNN-Based Model for Financial Market Fluctuation Prediction," </w:t>
      </w:r>
      <w:r>
        <w:rPr>
          <w:rFonts w:ascii="Times New Roman" w:hAnsi="Times New Roman"/>
          <w:b w:val="0"/>
          <w:i/>
          <w:sz w:val="18"/>
        </w:rPr>
        <w:t>IEEE Access</w:t>
      </w:r>
      <w:r>
        <w:rPr>
          <w:rFonts w:ascii="Times New Roman" w:hAnsi="Times New Roman"/>
          <w:b w:val="0"/>
          <w:i w:val="0"/>
          <w:sz w:val="18"/>
        </w:rPr>
        <w:t>, 2019.</w:t>
      </w:r>
    </w:p>
    <w:sectPr w:rsidR="00FC693F" w:rsidRPr="0006063C" w:rsidSect="00034616">
      <w:pgSz w:w="12240" w:h="15840"/>
      <w:pgMar w:top="1080" w:right="900" w:bottom="108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