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A4B0D" w14:textId="77777777" w:rsidR="00532B9E" w:rsidRDefault="00000000">
      <w:pPr>
        <w:spacing w:after="80"/>
        <w:jc w:val="center"/>
      </w:pPr>
      <w:r>
        <w:rPr>
          <w:b/>
          <w:sz w:val="44"/>
        </w:rPr>
        <w:t>FinSight Experimental: Robust Stock Prediction in Small Data Regimes Using Temporal Convolutional Networks and Regime-Aware Gradient Boosting</w:t>
      </w:r>
    </w:p>
    <w:p w14:paraId="11AE21E5" w14:textId="77777777" w:rsidR="00532B9E" w:rsidRDefault="00000000">
      <w:pPr>
        <w:spacing w:after="40"/>
        <w:jc w:val="center"/>
      </w:pPr>
      <w:r>
        <w:rPr>
          <w:sz w:val="22"/>
        </w:rPr>
        <w:t>Dhananjay Bhagat, Shauryavardhan, Soham Shelkar, Harshraj Shevale, Manas Shinde</w:t>
      </w:r>
    </w:p>
    <w:p w14:paraId="6056FE72" w14:textId="77777777" w:rsidR="00532B9E" w:rsidRDefault="00000000">
      <w:pPr>
        <w:spacing w:after="40"/>
        <w:jc w:val="center"/>
      </w:pPr>
      <w:r>
        <w:rPr>
          <w:i/>
        </w:rPr>
        <w:t>Department of Engineering, Sciences and Humanities (DESH)</w:t>
      </w:r>
    </w:p>
    <w:p w14:paraId="046C345C" w14:textId="77777777" w:rsidR="00532B9E" w:rsidRDefault="00000000">
      <w:pPr>
        <w:spacing w:after="40"/>
        <w:jc w:val="center"/>
      </w:pPr>
      <w:r>
        <w:rPr>
          <w:i/>
        </w:rPr>
        <w:t>Vishwakarma Institute of Technology, Pune, Maharashtra, India</w:t>
      </w:r>
    </w:p>
    <w:p w14:paraId="462151D6" w14:textId="77777777" w:rsidR="00532B9E" w:rsidRDefault="00532B9E">
      <w:pPr>
        <w:sectPr w:rsidR="00532B9E">
          <w:pgSz w:w="12240" w:h="15840"/>
          <w:pgMar w:top="1080" w:right="900" w:bottom="1080" w:left="900" w:header="720" w:footer="720" w:gutter="0"/>
          <w:cols w:space="360"/>
          <w:docGrid w:linePitch="360"/>
        </w:sectPr>
      </w:pPr>
    </w:p>
    <w:p w14:paraId="074D633A" w14:textId="18FD05BB" w:rsidR="00532B9E" w:rsidRDefault="00000000">
      <w:pPr>
        <w:spacing w:after="120"/>
      </w:pPr>
      <w:r>
        <w:rPr>
          <w:b/>
          <w:i/>
          <w:sz w:val="18"/>
        </w:rPr>
        <w:t>Abstract—</w:t>
      </w:r>
      <w:r>
        <w:t xml:space="preserve">Financial time series prediction using daily OHLCV data suffers from a fundamental constraint: typical five-year history windows yield only ~1,250 samples—far below the threshold where deep learning architectures generalize reliably. This paper presents an experimental stock prediction pipeline explicitly engineered for small data regimes, replacing the conventional two-layer LSTM with a simplified Temporal Convolutional Network (TCN) featuring causal dilations and Monte Carlo Dropout for uncertainty quantification. A single global LightGBM model treats four market regimes (Bull-Trending, Bull-Ranging, Bear-Trending, Bear-Ranging) as a categorical feature, resolving the data fragmentation problem of per-regime model training. Dynamic ATR-based labeling replaces static percentage thresholds, and a Rank-Blend meta-learner replaces ridge regression to prevent secondary overfitting. </w:t>
      </w:r>
      <w:r w:rsidR="00AF07AB" w:rsidRPr="00AF07AB">
        <w:t xml:space="preserve">Walk-forward </w:t>
      </w:r>
      <w:proofErr w:type="spellStart"/>
      <w:r w:rsidR="00AF07AB" w:rsidRPr="00AF07AB">
        <w:t>backtesting</w:t>
      </w:r>
      <w:proofErr w:type="spellEnd"/>
      <w:r w:rsidR="00AF07AB" w:rsidRPr="00AF07AB">
        <w:t xml:space="preserve"> with strict Next-Day-Open execution and 10 bps slippage removes look-ahead bias common to classical finance ML pipelines. Evaluated on NSE equities, the system generates positive out-of-sample returns versus negative buy-and-hold benchmark in a prolonged bear market with </w:t>
      </w:r>
      <w:proofErr w:type="spellStart"/>
      <w:r w:rsidR="00AF07AB" w:rsidRPr="00AF07AB">
        <w:t>LightGBM</w:t>
      </w:r>
      <w:proofErr w:type="spellEnd"/>
      <w:r w:rsidR="00AF07AB" w:rsidRPr="00AF07AB">
        <w:t xml:space="preserve"> component AUC of 0.679 demonstrating the efficacy of tree methods in tabular finance.</w:t>
      </w:r>
    </w:p>
    <w:p w14:paraId="3EE44B70" w14:textId="77777777" w:rsidR="00532B9E" w:rsidRDefault="00000000">
      <w:pPr>
        <w:spacing w:after="120"/>
      </w:pPr>
      <w:r>
        <w:rPr>
          <w:b/>
          <w:i/>
          <w:sz w:val="18"/>
        </w:rPr>
        <w:t>Index Terms—</w:t>
      </w:r>
      <w:r>
        <w:t>Temporal Convolutional Networks, LightGBM, GARCH, FinBERT, Rank-Blend Ensemble, Walk-Forward Backtesting, Monte Carlo Dropout, SHAP Explainability, Market Regime Detection, Small Data Regime Learning, ATR-Based Labeling</w:t>
      </w:r>
    </w:p>
    <w:p w14:paraId="572ED756" w14:textId="77777777" w:rsidR="00532B9E" w:rsidRDefault="00000000">
      <w:pPr>
        <w:spacing w:before="240" w:after="120"/>
        <w:jc w:val="center"/>
      </w:pPr>
      <w:r>
        <w:rPr>
          <w:b/>
          <w:sz w:val="26"/>
        </w:rPr>
        <w:t>I. INTRODUCTION</w:t>
      </w:r>
    </w:p>
    <w:p w14:paraId="3B07DB4E" w14:textId="6BA12304" w:rsidR="00532B9E" w:rsidRDefault="00AF07AB">
      <w:r w:rsidRPr="00AF07AB">
        <w:rPr>
          <w:sz w:val="21"/>
        </w:rPr>
        <w:t xml:space="preserve">The application of machine learning to financial time series prediction has been the subject of much research. However, there is one major obstacle that is often ignored, which is the insufficient amount of data. Specifically, for a stock price over a five-year period, if we take the daily OHLCV data, it will be converted into 1,250 data points after some preprocessing. This is an insufficient amount of data to train the deep learning models </w:t>
      </w:r>
      <w:r w:rsidRPr="00AF07AB">
        <w:rPr>
          <w:sz w:val="21"/>
        </w:rPr>
        <w:t xml:space="preserve">without encountering the challenges of noise dominating the signal. The number of parameters in the standard deep learning architectures for time series prediction, such as LSTMs with 128 or 64 units is over 100,000. Thus, the small data regime is a significant challenge for the machine learning models, particularly for deep learning </w:t>
      </w:r>
      <w:proofErr w:type="gramStart"/>
      <w:r w:rsidRPr="00AF07AB">
        <w:rPr>
          <w:sz w:val="21"/>
        </w:rPr>
        <w:t>architectures</w:t>
      </w:r>
      <w:r>
        <w:rPr>
          <w:sz w:val="21"/>
        </w:rPr>
        <w:t xml:space="preserve"> ,a</w:t>
      </w:r>
      <w:proofErr w:type="gramEnd"/>
      <w:r>
        <w:rPr>
          <w:sz w:val="21"/>
        </w:rPr>
        <w:t xml:space="preserve"> ratio of parameters to samples that frequently leads to memorization of in-sample idiosyncrasies rather than learning of generalizable market dynamics.</w:t>
      </w:r>
    </w:p>
    <w:p w14:paraId="51C6773E" w14:textId="77777777" w:rsidR="002B1B15" w:rsidRDefault="002B1B15" w:rsidP="00AF07AB">
      <w:pPr>
        <w:spacing w:before="240" w:after="120"/>
        <w:rPr>
          <w:sz w:val="21"/>
        </w:rPr>
      </w:pPr>
      <w:r w:rsidRPr="002B1B15">
        <w:rPr>
          <w:sz w:val="21"/>
        </w:rPr>
        <w:t>Recent advances in Temporal Convolutional Networks (TCNs) [1], [17], which use causal dilated convolutions to encode temporal data, provide with theoretically principled inductive biases for sequential modeling while allowing to drastically reduce the number of parameters. On the other hand, gradient boosted trees (</w:t>
      </w:r>
      <w:proofErr w:type="spellStart"/>
      <w:r w:rsidRPr="002B1B15">
        <w:rPr>
          <w:sz w:val="21"/>
        </w:rPr>
        <w:t>LightGBM</w:t>
      </w:r>
      <w:proofErr w:type="spellEnd"/>
      <w:r w:rsidRPr="002B1B15">
        <w:rPr>
          <w:sz w:val="21"/>
        </w:rPr>
        <w:t xml:space="preserve"> [2]) are the method of choice for tabular financial prediction tasks with less than 5000 samples, due to their explicit regularization, built-in feature selection, and blessing of dimensionality compared to traditional models.</w:t>
      </w:r>
    </w:p>
    <w:p w14:paraId="3276F109" w14:textId="77777777" w:rsidR="002B1B15" w:rsidRDefault="002B1B15" w:rsidP="00AF07AB">
      <w:pPr>
        <w:spacing w:before="240" w:after="120"/>
        <w:rPr>
          <w:sz w:val="21"/>
        </w:rPr>
      </w:pPr>
      <w:r w:rsidRPr="002B1B15">
        <w:rPr>
          <w:sz w:val="21"/>
        </w:rPr>
        <w:t>In the paper, we demonstrate an enhancement of production stock prediction system, which resolved four conceptual issues, among which was static label thresholding, which did not account for regimes of volatility, a fragmented model architecture, which had insufficient data for each regime learner, look-ahead bias, introduced by same-day-close execution, and finally, the secondary over-fit in stacking approaches, which used ridge regression on a small validation set to produce weights. As a result, a production stock prediction system, which is described in the paper, can provide a reasonable baseline for financial machine learning research, which is accessible to retail and academic algorithmic traders who are limited in the amount of data available to them.</w:t>
      </w:r>
    </w:p>
    <w:p w14:paraId="5331C4C5" w14:textId="77777777" w:rsidR="004A6A3A" w:rsidRDefault="004A6A3A" w:rsidP="00AF07AB">
      <w:pPr>
        <w:spacing w:before="240" w:after="120"/>
        <w:rPr>
          <w:sz w:val="21"/>
        </w:rPr>
      </w:pPr>
    </w:p>
    <w:p w14:paraId="293D80D1" w14:textId="6EC6943C" w:rsidR="00AF07AB" w:rsidRPr="00AF07AB" w:rsidRDefault="00AF07AB" w:rsidP="00AF07AB">
      <w:pPr>
        <w:spacing w:before="240" w:after="120"/>
        <w:rPr>
          <w:sz w:val="21"/>
        </w:rPr>
      </w:pPr>
      <w:r w:rsidRPr="00AF07AB">
        <w:rPr>
          <w:sz w:val="21"/>
        </w:rPr>
        <w:t>In this paper, we introduce the following contributions:</w:t>
      </w:r>
    </w:p>
    <w:p w14:paraId="4EDD6CD8" w14:textId="3483DA9C" w:rsidR="00AF07AB" w:rsidRPr="00AF07AB" w:rsidRDefault="00AF07AB" w:rsidP="00AF07AB">
      <w:pPr>
        <w:spacing w:before="240" w:after="120"/>
        <w:rPr>
          <w:sz w:val="21"/>
        </w:rPr>
      </w:pPr>
      <w:r>
        <w:t>1. A parameter-constrained TCN (~15K parameters) with Monte Carlo dropout for uncertainty estimation and probability calibration on ~1,000 training samples</w:t>
      </w:r>
    </w:p>
    <w:p w14:paraId="29B68903" w14:textId="61E8A160" w:rsidR="00AF07AB" w:rsidRPr="00AF07AB" w:rsidRDefault="00AF07AB" w:rsidP="00AF07AB">
      <w:pPr>
        <w:spacing w:before="240" w:after="120"/>
        <w:rPr>
          <w:sz w:val="21"/>
        </w:rPr>
      </w:pPr>
      <w:r>
        <w:t>2. Dynamic ATR-based target labeling that replaces traditional static thresholding with time-dependent volatility-dependent thresholds</w:t>
      </w:r>
    </w:p>
    <w:p w14:paraId="1E235E6B" w14:textId="1BC7FAAE" w:rsidR="00AF07AB" w:rsidRPr="00AF07AB" w:rsidRDefault="00AF07AB" w:rsidP="00AF07AB">
      <w:pPr>
        <w:spacing w:before="240" w:after="120"/>
        <w:rPr>
          <w:sz w:val="21"/>
        </w:rPr>
      </w:pPr>
      <w:r>
        <w:t>3. A unified LightGBM global model with regime as a cross-section feature that replaces four fragmented per-regime models</w:t>
      </w:r>
    </w:p>
    <w:p w14:paraId="220771B6" w14:textId="6461ECD8" w:rsidR="00AF07AB" w:rsidRPr="00AF07AB" w:rsidRDefault="00AF07AB" w:rsidP="00AF07AB">
      <w:pPr>
        <w:spacing w:before="240" w:after="120"/>
        <w:rPr>
          <w:sz w:val="21"/>
        </w:rPr>
      </w:pPr>
      <w:r>
        <w:t>4. A Rank-Blend meta-learner that eliminates secondary overfit while obeying Youden’s J-statistic optimal threshold selection by utilizing AUC as a performance metric</w:t>
      </w:r>
    </w:p>
    <w:p w14:paraId="6F7EA8E2" w14:textId="4C7CA20F" w:rsidR="00AF07AB" w:rsidRPr="00AF07AB" w:rsidRDefault="00AF07AB" w:rsidP="00AF07AB">
      <w:pPr>
        <w:spacing w:before="240" w:after="120"/>
        <w:rPr>
          <w:sz w:val="21"/>
        </w:rPr>
      </w:pPr>
      <w:r>
        <w:t>5. A walk-forward backtester that scores positions opened on the next-day’s open with 10 bps slippage and ATR stop-loss to eliminate look-ahead bias and produce bias-free performance estimates</w:t>
      </w:r>
    </w:p>
    <w:p w14:paraId="6921E8D9" w14:textId="77777777" w:rsidR="00AF07AB" w:rsidRPr="00AF07AB" w:rsidRDefault="00AF07AB" w:rsidP="00AF07AB">
      <w:pPr>
        <w:spacing w:before="240" w:after="120"/>
        <w:rPr>
          <w:sz w:val="21"/>
        </w:rPr>
      </w:pPr>
      <w:r w:rsidRPr="00AF07AB">
        <w:rPr>
          <w:sz w:val="21"/>
        </w:rPr>
        <w:t>Section II covers related work, Section III outlines the system architecture, Section IV describes the methodology in detail, Section V contains empirical results, while Section VI reports data availability and Section VII concludes the paper.</w:t>
      </w:r>
    </w:p>
    <w:p w14:paraId="585537C1" w14:textId="77777777" w:rsidR="00532B9E" w:rsidRDefault="00000000">
      <w:pPr>
        <w:spacing w:before="240" w:after="120"/>
        <w:jc w:val="center"/>
      </w:pPr>
      <w:r>
        <w:rPr>
          <w:b/>
          <w:sz w:val="26"/>
        </w:rPr>
        <w:t>II. LITERATURE REVIEW</w:t>
      </w:r>
    </w:p>
    <w:p w14:paraId="5848C5F9" w14:textId="77777777" w:rsidR="00532B9E" w:rsidRDefault="00000000">
      <w:pPr>
        <w:spacing w:before="160" w:after="80"/>
      </w:pPr>
      <w:r>
        <w:rPr>
          <w:b/>
          <w:i/>
          <w:sz w:val="23"/>
        </w:rPr>
        <w:t>A. Temporal Convolutional Networks</w:t>
      </w:r>
    </w:p>
    <w:p w14:paraId="251C9461" w14:textId="2AE518E8" w:rsidR="004A6A3A" w:rsidRDefault="004A6A3A" w:rsidP="004A6A3A">
      <w:pPr>
        <w:spacing w:before="160" w:after="80"/>
        <w:rPr>
          <w:sz w:val="21"/>
        </w:rPr>
      </w:pPr>
      <w:r>
        <w:t>Bai et al. [1] demonstrated that Temporal convolution networks with dilated causal convolutions and residual connections achieve performance comparable to LSTMs on most tasks and are significantly faster to train. The networks are causal, unlike LSTMs which do not have this property. This means that their prediction at any given time only depends on previous inputs, thus avoiding information leakage. The dilation of the networks allows linear scaling of the receptive field with the depth of the network. In finance, information leakage is considered a significant lookahead bias.</w:t>
      </w:r>
    </w:p>
    <w:p w14:paraId="5CFAEDBD" w14:textId="775F7BC8" w:rsidR="004A6A3A" w:rsidRDefault="004A6A3A" w:rsidP="004A6A3A">
      <w:pPr>
        <w:spacing w:before="160" w:after="80"/>
        <w:rPr>
          <w:sz w:val="21"/>
        </w:rPr>
      </w:pPr>
      <w:r>
        <w:t>Long short-time memory (LSTM) networks were initially designed by Hochreiter and Schmidhuber [3] to encode temporal information coming from the long series of data. The problem with the LSTM networks is that they contain a huge number of parameters compared to TCNs, which makes them less attractive regarding the amount of data needed to train them. Chong et al. [4] stated that it is possible to use deep networks for the prediction task in the stock market, but the resolution is much coarser than what one can get using daily data.</w:t>
      </w:r>
    </w:p>
    <w:p w14:paraId="3C6C9DF4" w14:textId="5C023D6A" w:rsidR="00532B9E" w:rsidRDefault="00000000">
      <w:pPr>
        <w:spacing w:before="160" w:after="80"/>
      </w:pPr>
      <w:r>
        <w:rPr>
          <w:b/>
          <w:i/>
          <w:sz w:val="23"/>
        </w:rPr>
        <w:t>B. Gradient Boosting for Tabular Financial Data</w:t>
      </w:r>
    </w:p>
    <w:p w14:paraId="75071B83" w14:textId="77777777" w:rsidR="004A6A3A" w:rsidRDefault="004A6A3A">
      <w:pPr>
        <w:spacing w:before="160" w:after="80"/>
        <w:rPr>
          <w:sz w:val="21"/>
        </w:rPr>
      </w:pPr>
      <w:r w:rsidRPr="004A6A3A">
        <w:rPr>
          <w:sz w:val="21"/>
        </w:rPr>
        <w:t xml:space="preserve">Ke et al. [2] have proposed </w:t>
      </w:r>
      <w:proofErr w:type="spellStart"/>
      <w:r w:rsidRPr="004A6A3A">
        <w:rPr>
          <w:sz w:val="21"/>
        </w:rPr>
        <w:t>LightGBM</w:t>
      </w:r>
      <w:proofErr w:type="spellEnd"/>
      <w:r w:rsidRPr="004A6A3A">
        <w:rPr>
          <w:sz w:val="21"/>
        </w:rPr>
        <w:t xml:space="preserve"> gradient boosting decision tree algorithm which adopts leaf-wise growth and histogram-based approach for faster learning and showed great performance on tabular data achieving the prediction speed of up to billions of data points per second. Chen and </w:t>
      </w:r>
      <w:proofErr w:type="spellStart"/>
      <w:r w:rsidRPr="004A6A3A">
        <w:rPr>
          <w:sz w:val="21"/>
        </w:rPr>
        <w:t>Guestrin</w:t>
      </w:r>
      <w:proofErr w:type="spellEnd"/>
      <w:r w:rsidRPr="004A6A3A">
        <w:rPr>
          <w:sz w:val="21"/>
        </w:rPr>
        <w:t xml:space="preserve"> [5] have reported that gradient boosting trees with explicit regularization can be more effective than deep learning on tabular data with less than 10,000 dimensionality which was demonstrated on the daily stock prediction problem. Gradient boosting trees inherently include feature selection and thus help to avoid overfitting on high-dimensional data during the training process unlike neural networks.</w:t>
      </w:r>
    </w:p>
    <w:p w14:paraId="13082980" w14:textId="78E14453" w:rsidR="00532B9E" w:rsidRDefault="00000000">
      <w:pPr>
        <w:spacing w:before="160" w:after="80"/>
      </w:pPr>
      <w:r>
        <w:rPr>
          <w:b/>
          <w:i/>
          <w:sz w:val="23"/>
        </w:rPr>
        <w:t>C. GARCH Volatility Modeling</w:t>
      </w:r>
    </w:p>
    <w:p w14:paraId="43C3D59C" w14:textId="77777777" w:rsidR="00083572" w:rsidRDefault="003E551F">
      <w:pPr>
        <w:spacing w:before="160" w:after="80"/>
        <w:rPr>
          <w:sz w:val="21"/>
        </w:rPr>
      </w:pPr>
      <w:r w:rsidRPr="003E551F">
        <w:rPr>
          <w:sz w:val="21"/>
        </w:rPr>
        <w:t xml:space="preserve">Meanwhile, Bollerslev [6] was the first to propose a more general model of autoregressive conditional heteroscedasticity GARCH which allows to capture the volatility clustering effect inherent in return series by means of the following conditional variance equation. The conditional volatility </w:t>
      </w:r>
      <w:proofErr w:type="spellStart"/>
      <w:r w:rsidRPr="003E551F">
        <w:rPr>
          <w:sz w:val="21"/>
        </w:rPr>
        <w:t>σt</w:t>
      </w:r>
      <w:proofErr w:type="spellEnd"/>
      <w:r w:rsidRPr="003E551F">
        <w:rPr>
          <w:sz w:val="21"/>
        </w:rPr>
        <w:t xml:space="preserve"> estimated from the GARCH-type model can be regarded as some orthogonal component which accounts for the dynamic market risk environment that is not accessible to technical indicators such as the moving average of the true range (ATR) since they normally involve a fixed window over which the values are averaged and hence are not able to adequately respond to the autoregressive dynamic of the time series.</w:t>
      </w:r>
    </w:p>
    <w:p w14:paraId="41D9DF79" w14:textId="05F9306F" w:rsidR="00532B9E" w:rsidRDefault="00000000">
      <w:pPr>
        <w:spacing w:before="160" w:after="80"/>
      </w:pPr>
      <w:r>
        <w:rPr>
          <w:b/>
          <w:i/>
          <w:sz w:val="23"/>
        </w:rPr>
        <w:t>D. Financial Sentiment Analysis</w:t>
      </w:r>
    </w:p>
    <w:p w14:paraId="6739DE84" w14:textId="77777777" w:rsidR="00083572" w:rsidRDefault="00083572" w:rsidP="0051015B">
      <w:pPr>
        <w:spacing w:before="160" w:after="80"/>
        <w:rPr>
          <w:sz w:val="21"/>
        </w:rPr>
      </w:pPr>
      <w:r>
        <w:t>Araci [7] proposed the BERT-based [8], [16] model called FinBERT, which was fine-tuned on financial language data and showed the best performance in the task of Financial PhraseBank sentiment classification. Xing et al. [9] showed that textual information in financial news contains additional orthogonal information for predicting price and volume features, which can be extracted using the hybrid NLP pipeline, which combines FinBERT transformer (weighted 0.7) and the VADER sentiment analysis library (weighted 0.3).</w:t>
      </w:r>
    </w:p>
    <w:p w14:paraId="7C9E3292" w14:textId="321B9542" w:rsidR="00532B9E" w:rsidRDefault="00000000" w:rsidP="0051015B">
      <w:pPr>
        <w:spacing w:before="160" w:after="80"/>
      </w:pPr>
      <w:r>
        <w:rPr>
          <w:b/>
          <w:i/>
          <w:sz w:val="23"/>
        </w:rPr>
        <w:t>E. Ensemble Methods and Meta-Learning</w:t>
      </w:r>
    </w:p>
    <w:p w14:paraId="6BCDE986" w14:textId="77777777" w:rsidR="0051015B" w:rsidRPr="0051015B" w:rsidRDefault="0051015B" w:rsidP="0051015B">
      <w:pPr>
        <w:spacing w:before="160" w:after="80"/>
        <w:rPr>
          <w:sz w:val="21"/>
        </w:rPr>
      </w:pPr>
      <w:r>
        <w:t>Wolpert [10] and Heaton [25] showed that the combination of different learners, which have different inductive biases, can lead to better generalization through the construction of theoretical foundations for both stacked generalization and deep portfolios, respectively. However, when the training set size is relatively small compared to the complexity of the secondary meta-learner, it is highly likely to overfit the validation set that was used to train it. The rank normalization of the base learners’ output probabilities, instead of using the probabilities directly, addresses this issue by reducing the impact that the calibration of each model individually has on the final prediction.</w:t>
      </w:r>
    </w:p>
    <w:p w14:paraId="57A15C34" w14:textId="77777777" w:rsidR="0051015B" w:rsidRDefault="0051015B" w:rsidP="0051015B">
      <w:pPr>
        <w:spacing w:before="160" w:after="80"/>
        <w:rPr>
          <w:sz w:val="21"/>
        </w:rPr>
      </w:pPr>
      <w:r w:rsidRPr="0051015B">
        <w:rPr>
          <w:sz w:val="21"/>
        </w:rPr>
        <w:t xml:space="preserve">Nti et al. [11] performed a comprehensive review of the different ensemble methods used for stock prediction tasks. </w:t>
      </w:r>
      <w:proofErr w:type="spellStart"/>
      <w:r w:rsidRPr="0051015B">
        <w:rPr>
          <w:sz w:val="21"/>
        </w:rPr>
        <w:t>Gyamerah</w:t>
      </w:r>
      <w:proofErr w:type="spellEnd"/>
      <w:r w:rsidRPr="0051015B">
        <w:rPr>
          <w:sz w:val="21"/>
        </w:rPr>
        <w:t xml:space="preserve"> et al. [12] applied the stacking ensemble learning algorithm to detect movements in the stock market, which allowed them to show the improvement in stability over individual models. The idea of using a regime-switching framework comes from </w:t>
      </w:r>
      <w:proofErr w:type="spellStart"/>
      <w:r w:rsidRPr="0051015B">
        <w:rPr>
          <w:sz w:val="21"/>
        </w:rPr>
        <w:t>Akioyamen</w:t>
      </w:r>
      <w:proofErr w:type="spellEnd"/>
      <w:r w:rsidRPr="0051015B">
        <w:rPr>
          <w:sz w:val="21"/>
        </w:rPr>
        <w:t xml:space="preserve"> et al. [13], who showed that hybrid learning schemes can be beneficial for predicting regime changes in financial markets.</w:t>
      </w:r>
    </w:p>
    <w:p w14:paraId="01301207" w14:textId="5B07DC75" w:rsidR="00532B9E" w:rsidRDefault="00000000" w:rsidP="0051015B">
      <w:pPr>
        <w:spacing w:before="160" w:after="80"/>
      </w:pPr>
      <w:r>
        <w:rPr>
          <w:b/>
          <w:i/>
          <w:sz w:val="23"/>
        </w:rPr>
        <w:t>F. Recent Advances in Foundation Models for Time Series</w:t>
      </w:r>
    </w:p>
    <w:p w14:paraId="52D472B5" w14:textId="3DD118A9" w:rsidR="0051015B" w:rsidRDefault="00FB5ED3" w:rsidP="0051015B">
      <w:pPr>
        <w:spacing w:before="160" w:after="80"/>
        <w:rPr>
          <w:sz w:val="21"/>
        </w:rPr>
      </w:pPr>
      <w:r w:rsidRPr="00FB5ED3">
        <w:rPr>
          <w:sz w:val="21"/>
        </w:rPr>
        <w:t xml:space="preserve">From 2024 to 2026, the field of time-series forecasting saw the emergence of </w:t>
      </w:r>
      <w:proofErr w:type="gramStart"/>
      <w:r w:rsidRPr="00FB5ED3">
        <w:rPr>
          <w:sz w:val="21"/>
        </w:rPr>
        <w:t>large scale</w:t>
      </w:r>
      <w:proofErr w:type="gramEnd"/>
      <w:r w:rsidRPr="00FB5ED3">
        <w:rPr>
          <w:sz w:val="21"/>
        </w:rPr>
        <w:t xml:space="preserve"> foundation models that enable zero-shot inference on downstream tasks after being pretrained on billions of temporal observations. The Google team introduced </w:t>
      </w:r>
      <w:proofErr w:type="spellStart"/>
      <w:r w:rsidRPr="00FB5ED3">
        <w:rPr>
          <w:sz w:val="21"/>
        </w:rPr>
        <w:t>TimesFM</w:t>
      </w:r>
      <w:proofErr w:type="spellEnd"/>
      <w:r w:rsidRPr="00FB5ED3">
        <w:rPr>
          <w:sz w:val="21"/>
        </w:rPr>
        <w:t xml:space="preserve"> [26], while Amazon released Chronos [27] and Salesforce presented MOIRAI [28]. Each of these language models can be applied to a wide range of forecasting tasks. In other words, they are universal solutions in the area of time-series analysis. However, for now, the application of such models seems too computationally expensive for specific retail practitioners. Therefore, the small-data paradigm and the creation of optimized proprietary models remain relevant.</w:t>
      </w:r>
    </w:p>
    <w:p w14:paraId="53E4EFDE" w14:textId="710B1FEB" w:rsidR="00532B9E" w:rsidRDefault="00000000" w:rsidP="0051015B">
      <w:pPr>
        <w:spacing w:before="160" w:after="80"/>
      </w:pPr>
      <w:proofErr w:type="spellStart"/>
      <w:r>
        <w:rPr>
          <w:b/>
          <w:i/>
          <w:sz w:val="23"/>
        </w:rPr>
        <w:t>G</w:t>
      </w:r>
      <w:proofErr w:type="spellEnd"/>
      <w:r>
        <w:rPr>
          <w:b/>
          <w:i/>
          <w:sz w:val="23"/>
        </w:rPr>
        <w:t>. Research Gap</w:t>
      </w:r>
    </w:p>
    <w:p w14:paraId="6354C676" w14:textId="77777777" w:rsidR="0051015B" w:rsidRDefault="0051015B" w:rsidP="0051015B">
      <w:pPr>
        <w:spacing w:before="240" w:after="120"/>
        <w:rPr>
          <w:sz w:val="21"/>
        </w:rPr>
      </w:pPr>
      <w:r w:rsidRPr="0051015B">
        <w:rPr>
          <w:sz w:val="21"/>
        </w:rPr>
        <w:t>Even considering incremental isolated improvements, no existing paper has specifically tried to solve the ‘small data problem’ in financial ML from a co-design perspective on the architectures, the labeling, the development of a meta-learning component, and the back-validating this in a scientific way. This paper fills that gap with a production-grade system that provides an empirically rigorous performance under realistic constraints.</w:t>
      </w:r>
    </w:p>
    <w:p w14:paraId="09239791" w14:textId="3935E311" w:rsidR="00532B9E" w:rsidRDefault="00000000">
      <w:pPr>
        <w:spacing w:before="240" w:after="120"/>
        <w:jc w:val="center"/>
      </w:pPr>
      <w:r>
        <w:rPr>
          <w:b/>
          <w:sz w:val="26"/>
        </w:rPr>
        <w:t>III. SYSTEM ARCHITECTURE</w:t>
      </w:r>
    </w:p>
    <w:p w14:paraId="39CD99CA" w14:textId="77777777" w:rsidR="00B12EF9" w:rsidRDefault="00B12EF9" w:rsidP="00B12EF9">
      <w:pPr>
        <w:rPr>
          <w:sz w:val="21"/>
        </w:rPr>
      </w:pPr>
      <w:proofErr w:type="spellStart"/>
      <w:r w:rsidRPr="00B12EF9">
        <w:rPr>
          <w:sz w:val="21"/>
        </w:rPr>
        <w:t>FinSight</w:t>
      </w:r>
      <w:proofErr w:type="spellEnd"/>
      <w:r w:rsidRPr="00B12EF9">
        <w:rPr>
          <w:sz w:val="21"/>
        </w:rPr>
        <w:t xml:space="preserve"> Experimental features a nine-step sequential workflow: Data Acquisition → Feature Engineering → Sentiment Analysis → GARCH Volatility → Data Preparation → Model Training (TCN + </w:t>
      </w:r>
      <w:proofErr w:type="spellStart"/>
      <w:r w:rsidRPr="00B12EF9">
        <w:rPr>
          <w:sz w:val="21"/>
        </w:rPr>
        <w:t>LightGBM</w:t>
      </w:r>
      <w:proofErr w:type="spellEnd"/>
      <w:r w:rsidRPr="00B12EF9">
        <w:rPr>
          <w:sz w:val="21"/>
        </w:rPr>
        <w:t xml:space="preserve">) → Meta-Learning → Walk-Forward </w:t>
      </w:r>
      <w:proofErr w:type="spellStart"/>
      <w:r w:rsidRPr="00B12EF9">
        <w:rPr>
          <w:sz w:val="21"/>
        </w:rPr>
        <w:t>Backtesting</w:t>
      </w:r>
      <w:proofErr w:type="spellEnd"/>
      <w:r w:rsidRPr="00B12EF9">
        <w:rPr>
          <w:sz w:val="21"/>
        </w:rPr>
        <w:t xml:space="preserve"> → Signal Output, with each stage implemented as an independently pluggable Python module.</w:t>
      </w:r>
    </w:p>
    <w:p w14:paraId="2F62A36D" w14:textId="16CFB7DF" w:rsidR="00B12EF9" w:rsidRPr="00B12EF9" w:rsidRDefault="00B12EF9" w:rsidP="00B12EF9">
      <w:pPr>
        <w:rPr>
          <w:sz w:val="21"/>
        </w:rPr>
      </w:pPr>
      <w:r w:rsidRPr="00B12EF9">
        <w:rPr>
          <w:sz w:val="21"/>
        </w:rPr>
        <w:t xml:space="preserve">The system consists of a Flask REST </w:t>
      </w:r>
      <w:proofErr w:type="spellStart"/>
      <w:r w:rsidRPr="00B12EF9">
        <w:rPr>
          <w:sz w:val="21"/>
        </w:rPr>
        <w:t>api</w:t>
      </w:r>
      <w:proofErr w:type="spellEnd"/>
      <w:r w:rsidRPr="00B12EF9">
        <w:rPr>
          <w:sz w:val="21"/>
        </w:rPr>
        <w:t xml:space="preserve"> (stock_api.py) which processes queries of stocks ticker symbols and returns trading signals, confidence levels, stop loss, ATR targets and sentiment analysis, then the Flutter mobile frontend displays them in an elegant dark mode UI.</w:t>
      </w:r>
    </w:p>
    <w:p w14:paraId="76244DC8" w14:textId="77777777" w:rsidR="00B12EF9" w:rsidRPr="00B12EF9" w:rsidRDefault="00B12EF9" w:rsidP="00B12EF9">
      <w:pPr>
        <w:rPr>
          <w:sz w:val="21"/>
        </w:rPr>
      </w:pPr>
      <w:r w:rsidRPr="00B12EF9">
        <w:rPr>
          <w:sz w:val="21"/>
        </w:rPr>
        <w:t>The key modifications compared to the original STOCK system are the following:</w:t>
      </w:r>
    </w:p>
    <w:p w14:paraId="52963E7C" w14:textId="77777777" w:rsidR="00532B9E" w:rsidRDefault="00000000">
      <w:r>
        <w:t>1. LSTM → TCN: Replaced two-layer LSTM (128→64 units, ~100K params) with a causal dilated TCN (32 filters, ~15K params) to prevent overfitting on ~1,000 samples.</w:t>
      </w:r>
    </w:p>
    <w:p w14:paraId="212D8510" w14:textId="77777777" w:rsidR="00B12EF9" w:rsidRPr="00B12EF9" w:rsidRDefault="00000000" w:rsidP="00B12EF9">
      <w:pPr>
        <w:rPr>
          <w:sz w:val="21"/>
        </w:rPr>
      </w:pPr>
      <w:r>
        <w:t>2. 4 Per-Regime Models → 1 Global Model: consolidated four LightGBM classifiers trained on separate regimes into one model using regime as a categorical feature, effectively tripling the data used for each model.</w:t>
      </w:r>
    </w:p>
    <w:p w14:paraId="6A5676F3" w14:textId="77777777" w:rsidR="00B12EF9" w:rsidRPr="00B12EF9" w:rsidRDefault="00B12EF9" w:rsidP="00B12EF9">
      <w:pPr>
        <w:rPr>
          <w:sz w:val="21"/>
        </w:rPr>
      </w:pPr>
      <w:r w:rsidRPr="00B12EF9">
        <w:rPr>
          <w:rFonts w:hint="eastAsia"/>
          <w:sz w:val="21"/>
        </w:rPr>
        <w:t xml:space="preserve">3. Static Labels </w:t>
      </w:r>
      <w:r w:rsidRPr="00B12EF9">
        <w:rPr>
          <w:rFonts w:hint="eastAsia"/>
          <w:sz w:val="21"/>
        </w:rPr>
        <w:t>→</w:t>
      </w:r>
      <w:r w:rsidRPr="00B12EF9">
        <w:rPr>
          <w:rFonts w:hint="eastAsia"/>
          <w:sz w:val="21"/>
        </w:rPr>
        <w:t xml:space="preserve"> ATR-Dynamic Labels: replaced percentage-based thresholding with volatility-adjusted ATR multipliers for more robust labeling across different volatility regimes</w:t>
      </w:r>
    </w:p>
    <w:p w14:paraId="2D461150" w14:textId="77777777" w:rsidR="00B12EF9" w:rsidRDefault="00B12EF9" w:rsidP="00B12EF9">
      <w:pPr>
        <w:rPr>
          <w:sz w:val="21"/>
        </w:rPr>
      </w:pPr>
      <w:r w:rsidRPr="00B12EF9">
        <w:rPr>
          <w:rFonts w:hint="eastAsia"/>
          <w:sz w:val="21"/>
        </w:rPr>
        <w:t xml:space="preserve">4. Ridge Stacker </w:t>
      </w:r>
      <w:r w:rsidRPr="00B12EF9">
        <w:rPr>
          <w:rFonts w:hint="eastAsia"/>
          <w:sz w:val="21"/>
        </w:rPr>
        <w:t>→</w:t>
      </w:r>
      <w:r w:rsidRPr="00B12EF9">
        <w:rPr>
          <w:rFonts w:hint="eastAsia"/>
          <w:sz w:val="21"/>
        </w:rPr>
        <w:t xml:space="preserve"> Rank-Blend: Replaced Ridge regression meta-model with grid-searched rank-blend weight to eliminate secondary overfitting</w:t>
      </w:r>
    </w:p>
    <w:p w14:paraId="5D8307D4" w14:textId="2BD88A80" w:rsidR="00532B9E" w:rsidRDefault="00000000" w:rsidP="00B12EF9">
      <w:pPr>
        <w:rPr>
          <w:sz w:val="21"/>
        </w:rPr>
      </w:pPr>
      <w:r>
        <w:t>5. Same-Day-Close Execution → Next-Day-Open: Enforced realistic execution timing with slippage, mitigating look-ahead bias from the backtest.</w:t>
      </w:r>
    </w:p>
    <w:p w14:paraId="6212596C" w14:textId="77777777" w:rsidR="00B12EF9" w:rsidRDefault="00B12EF9"/>
    <w:p w14:paraId="06D048BB" w14:textId="77777777" w:rsidR="00532B9E" w:rsidRDefault="00000000">
      <w:pPr>
        <w:spacing w:before="240" w:after="120"/>
        <w:jc w:val="center"/>
      </w:pPr>
      <w:r>
        <w:rPr>
          <w:b/>
          <w:sz w:val="26"/>
        </w:rPr>
        <w:t>IV. METHODOLOGY</w:t>
      </w:r>
    </w:p>
    <w:p w14:paraId="7F82D2F2" w14:textId="77777777" w:rsidR="00532B9E" w:rsidRDefault="00000000">
      <w:pPr>
        <w:spacing w:before="160" w:after="80"/>
      </w:pPr>
      <w:r>
        <w:rPr>
          <w:b/>
          <w:i/>
          <w:sz w:val="23"/>
        </w:rPr>
        <w:t>A. Data Collection and Preprocessing</w:t>
      </w:r>
    </w:p>
    <w:p w14:paraId="58E383C6" w14:textId="77777777" w:rsidR="00532B9E" w:rsidRDefault="00000000">
      <w:r>
        <w:rPr>
          <w:sz w:val="21"/>
        </w:rPr>
        <w:t>Historical OHLCV data are retrieved via the yfinance API with a five-year history window, requiring a minimum of 500 trading days. Multi-market support covers NSE (.NS), BSE (.BO), US, UK (.L), and EU exchanges with automatic market detection. Indian equities additionally receive a USD/INR forex rate feature. Processed data is cached locally as Parquet files to avoid repeated API calls and to ensure reproducibility.</w:t>
      </w:r>
    </w:p>
    <w:p w14:paraId="2B43387E" w14:textId="77777777" w:rsidR="00532B9E" w:rsidRDefault="00000000">
      <w:r>
        <w:rPr>
          <w:sz w:val="21"/>
        </w:rPr>
        <w:t>Daily log-returns for GARCH modeling are computed as:</w:t>
      </w:r>
    </w:p>
    <w:p w14:paraId="4CDB1363" w14:textId="77777777" w:rsidR="00532B9E" w:rsidRDefault="00000000">
      <w:pPr>
        <w:tabs>
          <w:tab w:val="center" w:pos="2520"/>
          <w:tab w:val="right" w:pos="5040"/>
        </w:tabs>
        <w:spacing w:before="80" w:after="80"/>
      </w:pPr>
      <w:r>
        <w:tab/>
      </w:r>
      <w:r>
        <w:rPr>
          <w:rFonts w:ascii="Cambria Math" w:hAnsi="Cambria Math"/>
          <w:i/>
          <w:sz w:val="21"/>
        </w:rPr>
        <w:t>r_t = ln(C_t / C_(t−1)) × 100</w:t>
      </w:r>
      <w:r>
        <w:rPr>
          <w:sz w:val="21"/>
        </w:rPr>
        <w:tab/>
        <w:t>(1)</w:t>
      </w:r>
    </w:p>
    <w:p w14:paraId="0B83A019" w14:textId="77777777" w:rsidR="00532B9E" w:rsidRDefault="00000000">
      <w:r>
        <w:rPr>
          <w:sz w:val="21"/>
        </w:rPr>
        <w:t>where C_t is the closing price on day t. All features are standardized using zero-mean unit-variance scaling (StandardScaler) before being fed to the TCN. LightGBM receives unscaled features since gradient boosting is scale-invariant.</w:t>
      </w:r>
    </w:p>
    <w:p w14:paraId="53A19E78" w14:textId="77777777" w:rsidR="00532B9E" w:rsidRDefault="00000000">
      <w:pPr>
        <w:spacing w:before="160" w:after="80"/>
      </w:pPr>
      <w:r>
        <w:rPr>
          <w:b/>
          <w:i/>
          <w:sz w:val="23"/>
        </w:rPr>
        <w:t>B. Feature Engineering</w:t>
      </w:r>
    </w:p>
    <w:p w14:paraId="7A49550E" w14:textId="77777777" w:rsidR="00532B9E" w:rsidRDefault="00000000">
      <w:r>
        <w:rPr>
          <w:sz w:val="21"/>
        </w:rPr>
        <w:t>The FeatureEngine module computes 21 core technical indicators across momentum, volatility, trend, and volume categories using the ta library:</w:t>
      </w:r>
    </w:p>
    <w:p w14:paraId="6A50F6C4" w14:textId="77777777" w:rsidR="00532B9E" w:rsidRDefault="00000000">
      <w:pPr>
        <w:spacing w:before="80" w:after="40"/>
      </w:pPr>
      <w:r>
        <w:rPr>
          <w:b/>
          <w:sz w:val="21"/>
        </w:rPr>
        <w:t>Momentum:</w:t>
      </w:r>
    </w:p>
    <w:p w14:paraId="3F17A0A2" w14:textId="77777777" w:rsidR="00532B9E" w:rsidRDefault="00000000">
      <w:pPr>
        <w:pStyle w:val="ListBullet"/>
      </w:pPr>
      <w:r>
        <w:rPr>
          <w:b/>
          <w:sz w:val="21"/>
        </w:rPr>
        <w:t xml:space="preserve">RSI(14): </w:t>
      </w:r>
      <w:r>
        <w:rPr>
          <w:sz w:val="21"/>
        </w:rPr>
        <w:t>RSI = 100 − 100 / (1 + RS), RS = Avg Gain(14) / Avg Loss(14)</w:t>
      </w:r>
    </w:p>
    <w:p w14:paraId="087A421E" w14:textId="77777777" w:rsidR="00532B9E" w:rsidRDefault="00000000">
      <w:pPr>
        <w:pStyle w:val="ListBullet"/>
      </w:pPr>
      <w:r>
        <w:rPr>
          <w:b/>
          <w:sz w:val="21"/>
        </w:rPr>
        <w:t xml:space="preserve">MACD(12,26,9): </w:t>
      </w:r>
      <w:r>
        <w:rPr>
          <w:sz w:val="21"/>
        </w:rPr>
        <w:t>MACD = EMA₁₂ − EMA₂₆; Signal = EMA₉(MACD)</w:t>
      </w:r>
    </w:p>
    <w:p w14:paraId="55473584" w14:textId="77777777" w:rsidR="00532B9E" w:rsidRDefault="00000000">
      <w:pPr>
        <w:pStyle w:val="ListBullet"/>
      </w:pPr>
      <w:r>
        <w:rPr>
          <w:b/>
          <w:sz w:val="21"/>
        </w:rPr>
        <w:t xml:space="preserve">Stochastic(14): </w:t>
      </w:r>
      <w:r>
        <w:rPr>
          <w:sz w:val="21"/>
        </w:rPr>
        <w:t>%K = (C − L₁₄) / (H₁₄ − L₁₄) × 100</w:t>
      </w:r>
    </w:p>
    <w:p w14:paraId="27DCE0C5" w14:textId="77777777" w:rsidR="00532B9E" w:rsidRDefault="00000000">
      <w:pPr>
        <w:spacing w:before="80" w:after="40"/>
      </w:pPr>
      <w:r>
        <w:rPr>
          <w:b/>
          <w:sz w:val="21"/>
        </w:rPr>
        <w:t>Volatility:</w:t>
      </w:r>
    </w:p>
    <w:p w14:paraId="5FA7BAE8" w14:textId="77777777" w:rsidR="00532B9E" w:rsidRDefault="00000000">
      <w:pPr>
        <w:pStyle w:val="ListBullet"/>
      </w:pPr>
      <w:r>
        <w:rPr>
          <w:b/>
          <w:sz w:val="21"/>
        </w:rPr>
        <w:t xml:space="preserve">ATR(14): </w:t>
      </w:r>
      <w:r>
        <w:rPr>
          <w:sz w:val="21"/>
        </w:rPr>
        <w:t>ATR̂_t = ATR_t / C_t (normalized by close)</w:t>
      </w:r>
    </w:p>
    <w:p w14:paraId="40BA5237" w14:textId="77777777" w:rsidR="00532B9E" w:rsidRDefault="00000000">
      <w:pPr>
        <w:pStyle w:val="ListBullet"/>
      </w:pPr>
      <w:r>
        <w:rPr>
          <w:b/>
          <w:sz w:val="21"/>
        </w:rPr>
        <w:t xml:space="preserve">Bollinger(20, 2σ): </w:t>
      </w:r>
      <w:r>
        <w:rPr>
          <w:sz w:val="21"/>
        </w:rPr>
        <w:t>BBₚ = (μ₂₀ ± 2σ₂₀ − C_t) / C_t</w:t>
      </w:r>
    </w:p>
    <w:p w14:paraId="46F0CC17" w14:textId="77777777" w:rsidR="00532B9E" w:rsidRDefault="00000000">
      <w:pPr>
        <w:spacing w:before="80" w:after="40"/>
      </w:pPr>
      <w:r>
        <w:rPr>
          <w:b/>
          <w:sz w:val="21"/>
        </w:rPr>
        <w:t>Trend:</w:t>
      </w:r>
    </w:p>
    <w:p w14:paraId="1ED26C78" w14:textId="77777777" w:rsidR="00532B9E" w:rsidRDefault="00000000">
      <w:pPr>
        <w:pStyle w:val="ListBullet"/>
      </w:pPr>
      <w:r>
        <w:rPr>
          <w:b/>
          <w:sz w:val="21"/>
        </w:rPr>
        <w:t xml:space="preserve">EMA distances: </w:t>
      </w:r>
      <w:r>
        <w:rPr>
          <w:sz w:val="21"/>
        </w:rPr>
        <w:t>EMÂ_p = (EMA_p / C_t) − 1, for p ∈ {9, 21, 50}</w:t>
      </w:r>
    </w:p>
    <w:p w14:paraId="0997F078" w14:textId="77777777" w:rsidR="00532B9E" w:rsidRDefault="00000000">
      <w:pPr>
        <w:pStyle w:val="ListBullet"/>
      </w:pPr>
      <w:r>
        <w:rPr>
          <w:b/>
          <w:sz w:val="21"/>
        </w:rPr>
        <w:t xml:space="preserve">ADX(14): </w:t>
      </w:r>
      <w:r>
        <w:rPr>
          <w:sz w:val="21"/>
        </w:rPr>
        <w:t>ADX(14): regime threshold at ADX &gt; 25</w:t>
      </w:r>
    </w:p>
    <w:p w14:paraId="24F0D9E7" w14:textId="77777777" w:rsidR="00532B9E" w:rsidRDefault="00000000">
      <w:pPr>
        <w:spacing w:before="80" w:after="40"/>
      </w:pPr>
      <w:r>
        <w:rPr>
          <w:b/>
          <w:sz w:val="21"/>
        </w:rPr>
        <w:t>Volume:</w:t>
      </w:r>
    </w:p>
    <w:p w14:paraId="46E43022" w14:textId="77777777" w:rsidR="00532B9E" w:rsidRDefault="00000000">
      <w:pPr>
        <w:pStyle w:val="ListBullet"/>
      </w:pPr>
      <w:r>
        <w:rPr>
          <w:b/>
          <w:sz w:val="21"/>
        </w:rPr>
        <w:t xml:space="preserve">OBV(normalized): </w:t>
      </w:r>
      <w:r>
        <w:rPr>
          <w:sz w:val="21"/>
        </w:rPr>
        <w:t>OBV_diff₁₀ / rolling_mean(|OBV_diff|₂₀)</w:t>
      </w:r>
    </w:p>
    <w:p w14:paraId="3B17718D" w14:textId="77777777" w:rsidR="00532B9E" w:rsidRDefault="00000000">
      <w:pPr>
        <w:pStyle w:val="ListBullet"/>
      </w:pPr>
      <w:r>
        <w:rPr>
          <w:b/>
          <w:sz w:val="21"/>
        </w:rPr>
        <w:t xml:space="preserve">VWAP(20): </w:t>
      </w:r>
      <w:r>
        <w:rPr>
          <w:sz w:val="21"/>
        </w:rPr>
        <w:t>VWAP₂₀ = [Σ Pᵗʸᵖ · Vᵢ] / [Σ Vᵢ]</w:t>
      </w:r>
    </w:p>
    <w:p w14:paraId="0D6C08F7" w14:textId="77777777" w:rsidR="00532B9E" w:rsidRDefault="00000000">
      <w:pPr>
        <w:spacing w:before="80" w:after="40"/>
      </w:pPr>
      <w:r>
        <w:rPr>
          <w:b/>
          <w:sz w:val="21"/>
        </w:rPr>
        <w:t>Derived:</w:t>
      </w:r>
    </w:p>
    <w:p w14:paraId="04A09DF0" w14:textId="77777777" w:rsidR="00532B9E" w:rsidRDefault="00000000">
      <w:pPr>
        <w:pStyle w:val="ListBullet"/>
      </w:pPr>
      <w:r>
        <w:rPr>
          <w:b/>
          <w:sz w:val="21"/>
        </w:rPr>
        <w:t xml:space="preserve">Rolling Returns: </w:t>
      </w:r>
      <w:r>
        <w:rPr>
          <w:sz w:val="21"/>
        </w:rPr>
        <w:t>5-day, 10-day, 21-day rolling returns (%)</w:t>
      </w:r>
    </w:p>
    <w:p w14:paraId="20D7A820" w14:textId="77777777" w:rsidR="00532B9E" w:rsidRDefault="00000000">
      <w:pPr>
        <w:spacing w:before="160" w:after="80"/>
      </w:pPr>
      <w:r>
        <w:rPr>
          <w:b/>
          <w:i/>
          <w:sz w:val="23"/>
        </w:rPr>
        <w:t>C. GARCH(1,1) Conditional Volatility</w:t>
      </w:r>
    </w:p>
    <w:p w14:paraId="0C59A659" w14:textId="77777777" w:rsidR="00532B9E" w:rsidRDefault="00000000">
      <w:r>
        <w:rPr>
          <w:sz w:val="21"/>
        </w:rPr>
        <w:t>The conditional variance equation follows Bollerslev [6]:</w:t>
      </w:r>
    </w:p>
    <w:p w14:paraId="664F6C30" w14:textId="77777777" w:rsidR="00532B9E" w:rsidRDefault="00000000">
      <w:pPr>
        <w:tabs>
          <w:tab w:val="center" w:pos="2520"/>
          <w:tab w:val="right" w:pos="5040"/>
        </w:tabs>
        <w:spacing w:before="80" w:after="80"/>
      </w:pPr>
      <w:r>
        <w:tab/>
      </w:r>
      <w:r>
        <w:rPr>
          <w:rFonts w:ascii="Cambria Math" w:hAnsi="Cambria Math"/>
          <w:i/>
          <w:sz w:val="21"/>
        </w:rPr>
        <w:t>σ²_t = ω + αε²_(t−1) + βσ²_(t−1)</w:t>
      </w:r>
      <w:r>
        <w:rPr>
          <w:sz w:val="21"/>
        </w:rPr>
        <w:tab/>
        <w:t>(2)</w:t>
      </w:r>
    </w:p>
    <w:p w14:paraId="0FF64EB3" w14:textId="77777777" w:rsidR="00532B9E" w:rsidRDefault="00000000">
      <w:r>
        <w:rPr>
          <w:sz w:val="21"/>
        </w:rPr>
        <w:t>where ε_t = r_t − μ are the mean-adjusted returns. The model is fit on in-sample log-returns using maximum likelihood estimation (arch library). Walk-forward GARCH fitting ensures no future volatility information leaks into training: for each walk-forward fold, the GARCH model is re-fit on all available training data. The conditional volatility σ_t is propagated as feature column garch_vol, orthogonal to simple rolling volatility estimates.</w:t>
      </w:r>
    </w:p>
    <w:p w14:paraId="7735D3A9" w14:textId="77777777" w:rsidR="00532B9E" w:rsidRDefault="00000000">
      <w:pPr>
        <w:spacing w:before="160" w:after="80"/>
      </w:pPr>
      <w:r>
        <w:rPr>
          <w:b/>
          <w:i/>
          <w:sz w:val="23"/>
        </w:rPr>
        <w:t>D. Hybrid Sentiment Analysis</w:t>
      </w:r>
    </w:p>
    <w:p w14:paraId="6705E1CB" w14:textId="77777777" w:rsidR="00532B9E" w:rsidRDefault="00000000">
      <w:r>
        <w:rPr>
          <w:sz w:val="21"/>
        </w:rPr>
        <w:t>A multi-source NLP pipeline aggregates financial headlines from MoneyControl, Economic Times, Yahoo Finance RSS, NewsAPI, and Reddit (via PRAW). Each headline is preprocessed (HTML removal, deduplication) and scored by two models:</w:t>
      </w:r>
    </w:p>
    <w:p w14:paraId="67B41C0F" w14:textId="77777777" w:rsidR="00532B9E" w:rsidRDefault="00000000">
      <w:pPr>
        <w:pStyle w:val="ListBullet"/>
      </w:pPr>
      <w:r>
        <w:rPr>
          <w:b/>
          <w:sz w:val="21"/>
        </w:rPr>
        <w:t xml:space="preserve">VADER: </w:t>
      </w:r>
      <w:r>
        <w:rPr>
          <w:sz w:val="21"/>
        </w:rPr>
        <w:t>VADER (weight = 0.3): Lexicon-based compound score in [−1, +1].</w:t>
      </w:r>
    </w:p>
    <w:p w14:paraId="03A55A32" w14:textId="77777777" w:rsidR="00532B9E" w:rsidRDefault="00000000">
      <w:pPr>
        <w:pStyle w:val="ListBullet"/>
      </w:pPr>
      <w:r>
        <w:rPr>
          <w:b/>
          <w:sz w:val="21"/>
        </w:rPr>
        <w:t xml:space="preserve">FinBERT: </w:t>
      </w:r>
      <w:r>
        <w:rPr>
          <w:sz w:val="21"/>
        </w:rPr>
        <w:t>FinBERT (weight = 0.7): Transformer probability for positive/negative/neutral classes.</w:t>
      </w:r>
    </w:p>
    <w:p w14:paraId="7981F578" w14:textId="77777777" w:rsidR="00532B9E" w:rsidRDefault="00000000">
      <w:r>
        <w:rPr>
          <w:sz w:val="21"/>
        </w:rPr>
        <w:t>The blended daily sentiment score is:</w:t>
      </w:r>
    </w:p>
    <w:p w14:paraId="09B2FD79" w14:textId="77777777" w:rsidR="00532B9E" w:rsidRDefault="00000000">
      <w:pPr>
        <w:tabs>
          <w:tab w:val="center" w:pos="2520"/>
          <w:tab w:val="right" w:pos="5040"/>
        </w:tabs>
        <w:spacing w:before="80" w:after="80"/>
      </w:pPr>
      <w:r>
        <w:tab/>
      </w:r>
      <w:r>
        <w:rPr>
          <w:rFonts w:ascii="Cambria Math" w:hAnsi="Cambria Math"/>
          <w:i/>
          <w:sz w:val="21"/>
        </w:rPr>
        <w:t>S_blend = 0.3 × S_VADER + 0.7 × S_FinBERT</w:t>
      </w:r>
      <w:r>
        <w:rPr>
          <w:sz w:val="21"/>
        </w:rPr>
        <w:tab/>
        <w:t>(3)</w:t>
      </w:r>
    </w:p>
    <w:p w14:paraId="53A690D8" w14:textId="77777777" w:rsidR="0051015B" w:rsidRDefault="0051015B">
      <w:pPr>
        <w:spacing w:before="160" w:after="80"/>
        <w:rPr>
          <w:sz w:val="21"/>
        </w:rPr>
      </w:pPr>
      <w:r w:rsidRPr="0051015B">
        <w:rPr>
          <w:sz w:val="21"/>
        </w:rPr>
        <w:t xml:space="preserve">For the historical </w:t>
      </w:r>
      <w:proofErr w:type="spellStart"/>
      <w:r w:rsidRPr="0051015B">
        <w:rPr>
          <w:sz w:val="21"/>
        </w:rPr>
        <w:t>backtest</w:t>
      </w:r>
      <w:proofErr w:type="spellEnd"/>
      <w:r w:rsidRPr="0051015B">
        <w:rPr>
          <w:sz w:val="21"/>
        </w:rPr>
        <w:t>, where the news is not available, as a substitute, we use a price-polarity proxy, which is constructed as a 5-day rolling return polarity clipped in [-1,1], thus avoiding any data leakage.</w:t>
      </w:r>
    </w:p>
    <w:p w14:paraId="10AD5E11" w14:textId="3C95A34D" w:rsidR="00532B9E" w:rsidRDefault="00000000">
      <w:pPr>
        <w:spacing w:before="160" w:after="80"/>
      </w:pPr>
      <w:r>
        <w:rPr>
          <w:b/>
          <w:i/>
          <w:sz w:val="23"/>
        </w:rPr>
        <w:t>E. Simplified TCN Architecture</w:t>
      </w:r>
    </w:p>
    <w:p w14:paraId="65FE5D68" w14:textId="4171C333" w:rsidR="00532B9E" w:rsidRDefault="00B12EF9">
      <w:r>
        <w:t>The Temporal Convolutional Network [1] uses a stack of dilated causal convolution blocks. Causality is enforced by left-padding each convolution layer, ensuring prediction at time t uses only inputs from times ≤ t. The dilations {1, 2, 4, 8, 16} expand the effective receptive field to:</w:t>
      </w:r>
    </w:p>
    <w:p w14:paraId="6A525790" w14:textId="77777777" w:rsidR="00532B9E" w:rsidRDefault="00000000">
      <w:pPr>
        <w:tabs>
          <w:tab w:val="center" w:pos="2520"/>
          <w:tab w:val="right" w:pos="5040"/>
        </w:tabs>
        <w:spacing w:before="80" w:after="80"/>
      </w:pPr>
      <w:r>
        <w:tab/>
      </w:r>
      <w:r>
        <w:rPr>
          <w:rFonts w:ascii="Cambria Math" w:hAnsi="Cambria Math"/>
          <w:i/>
          <w:sz w:val="21"/>
        </w:rPr>
        <w:t>RF = 1 + 2 × (kernel_size − 1) × Σ_{i=0}^{4} 2^i = 1 + 2 × (3 − 1) × 31 = 125 days</w:t>
      </w:r>
      <w:r>
        <w:rPr>
          <w:sz w:val="21"/>
        </w:rPr>
        <w:tab/>
        <w:t>(4)</w:t>
      </w:r>
    </w:p>
    <w:p w14:paraId="73F62805" w14:textId="027E0568" w:rsidR="00532B9E" w:rsidRDefault="00B12EF9">
      <w:r w:rsidRPr="00B12EF9">
        <w:rPr>
          <w:sz w:val="21"/>
        </w:rPr>
        <w:t xml:space="preserve">This allows to reach a larger receptive field than the 60-day window described before while keeping the same number </w:t>
      </w:r>
      <w:r w:rsidRPr="00B12EF9">
        <w:rPr>
          <w:sz w:val="21"/>
        </w:rPr>
        <w:t>of parameters. The whole architecture is then constrained to a small number of parameters for the few data case</w:t>
      </w:r>
      <w:r>
        <w:rPr>
          <w:sz w:val="21"/>
        </w:rPr>
        <w:t>:</w:t>
      </w:r>
    </w:p>
    <w:p w14:paraId="456A398F" w14:textId="77777777" w:rsidR="00532B9E" w:rsidRDefault="00000000">
      <w:pPr>
        <w:pStyle w:val="ListBullet"/>
      </w:pPr>
      <w:r>
        <w:rPr>
          <w:sz w:val="21"/>
        </w:rPr>
        <w:t>Convolutional filters: 32 (reduced from 128 to prevent overfitting)</w:t>
      </w:r>
    </w:p>
    <w:p w14:paraId="172EF29A" w14:textId="77777777" w:rsidR="00532B9E" w:rsidRDefault="00000000">
      <w:pPr>
        <w:pStyle w:val="ListBullet"/>
      </w:pPr>
      <w:r>
        <w:rPr>
          <w:sz w:val="21"/>
        </w:rPr>
        <w:t>Dense units: 16 (reduced from 64)</w:t>
      </w:r>
    </w:p>
    <w:p w14:paraId="7F1DB4A4" w14:textId="77777777" w:rsidR="00532B9E" w:rsidRDefault="00000000">
      <w:pPr>
        <w:pStyle w:val="ListBullet"/>
      </w:pPr>
      <w:r>
        <w:rPr>
          <w:sz w:val="21"/>
        </w:rPr>
        <w:t>Total parameters: ~15,000 (vs. ~100,000 for the original LSTM)</w:t>
      </w:r>
    </w:p>
    <w:p w14:paraId="31A7E859" w14:textId="77777777" w:rsidR="00532B9E" w:rsidRDefault="00000000">
      <w:pPr>
        <w:pStyle w:val="ListBullet"/>
      </w:pPr>
      <w:r>
        <w:rPr>
          <w:sz w:val="21"/>
        </w:rPr>
        <w:t>Dropout rate: 0.3 applied in every conv block</w:t>
      </w:r>
    </w:p>
    <w:p w14:paraId="1189600C" w14:textId="77777777" w:rsidR="00532B9E" w:rsidRDefault="00000000">
      <w:pPr>
        <w:pStyle w:val="ListBullet"/>
      </w:pPr>
      <w:r>
        <w:rPr>
          <w:sz w:val="21"/>
        </w:rPr>
        <w:t>Monte Carlo Dropout: 50 forward passes at inference for uncertainty estimation</w:t>
      </w:r>
    </w:p>
    <w:p w14:paraId="531DB7A0" w14:textId="77777777" w:rsidR="00B12EF9" w:rsidRPr="00B12EF9" w:rsidRDefault="00000000" w:rsidP="00B12EF9">
      <w:pPr>
        <w:rPr>
          <w:sz w:val="21"/>
        </w:rPr>
      </w:pPr>
      <w:r>
        <w:rPr>
          <w:sz w:val="21"/>
        </w:rPr>
        <w:t xml:space="preserve">MC Dropout uncertainty is computed as the variance across 50 stochastic forward passes. </w:t>
      </w:r>
      <w:r w:rsidR="00B12EF9" w:rsidRPr="00B12EF9">
        <w:rPr>
          <w:sz w:val="21"/>
        </w:rPr>
        <w:t>Remove text</w:t>
      </w:r>
    </w:p>
    <w:p w14:paraId="361A5E66" w14:textId="77777777" w:rsidR="00B12EF9" w:rsidRPr="00B12EF9" w:rsidRDefault="00B12EF9" w:rsidP="00B12EF9">
      <w:pPr>
        <w:rPr>
          <w:sz w:val="21"/>
        </w:rPr>
      </w:pPr>
      <w:r w:rsidRPr="00B12EF9">
        <w:rPr>
          <w:sz w:val="21"/>
        </w:rPr>
        <w:t>Words: 32 / 3,000</w:t>
      </w:r>
    </w:p>
    <w:p w14:paraId="2CA450C3" w14:textId="77777777" w:rsidR="00B12EF9" w:rsidRPr="00B12EF9" w:rsidRDefault="00B12EF9" w:rsidP="00B12EF9">
      <w:pPr>
        <w:rPr>
          <w:sz w:val="21"/>
        </w:rPr>
      </w:pPr>
      <w:r w:rsidRPr="00B12EF9">
        <w:rPr>
          <w:sz w:val="21"/>
        </w:rPr>
        <w:t>Humanize AI</w:t>
      </w:r>
    </w:p>
    <w:p w14:paraId="36BB1D49" w14:textId="77777777" w:rsidR="00B12EF9" w:rsidRPr="00B12EF9" w:rsidRDefault="00B12EF9" w:rsidP="00B12EF9">
      <w:pPr>
        <w:rPr>
          <w:sz w:val="21"/>
        </w:rPr>
      </w:pPr>
      <w:r w:rsidRPr="00B12EF9">
        <w:rPr>
          <w:sz w:val="21"/>
        </w:rPr>
        <w:t>Result text</w:t>
      </w:r>
    </w:p>
    <w:p w14:paraId="435F4832" w14:textId="77777777" w:rsidR="00B12EF9" w:rsidRPr="00B12EF9" w:rsidRDefault="00B12EF9" w:rsidP="00B12EF9">
      <w:pPr>
        <w:rPr>
          <w:sz w:val="21"/>
        </w:rPr>
      </w:pPr>
      <w:r w:rsidRPr="00B12EF9">
        <w:rPr>
          <w:sz w:val="21"/>
        </w:rPr>
        <w:t>Version 1</w:t>
      </w:r>
      <w:r w:rsidRPr="00B12EF9">
        <w:rPr>
          <w:rFonts w:ascii="Segoe UI Symbol" w:hAnsi="Segoe UI Symbol" w:cs="Segoe UI Symbol"/>
          <w:b/>
          <w:bCs/>
          <w:sz w:val="21"/>
        </w:rPr>
        <w:t>★</w:t>
      </w:r>
      <w:r w:rsidRPr="00B12EF9">
        <w:rPr>
          <w:b/>
          <w:bCs/>
          <w:sz w:val="21"/>
        </w:rPr>
        <w:t xml:space="preserve"> Best </w:t>
      </w:r>
      <w:proofErr w:type="spellStart"/>
      <w:r w:rsidRPr="00B12EF9">
        <w:rPr>
          <w:b/>
          <w:bCs/>
          <w:sz w:val="21"/>
        </w:rPr>
        <w:t>pick</w:t>
      </w:r>
      <w:r w:rsidRPr="00B12EF9">
        <w:rPr>
          <w:sz w:val="21"/>
        </w:rPr>
        <w:t>Version</w:t>
      </w:r>
      <w:proofErr w:type="spellEnd"/>
      <w:r w:rsidRPr="00B12EF9">
        <w:rPr>
          <w:sz w:val="21"/>
        </w:rPr>
        <w:t xml:space="preserve"> 2</w:t>
      </w:r>
    </w:p>
    <w:p w14:paraId="3961755D" w14:textId="77777777" w:rsidR="00B12EF9" w:rsidRPr="00B12EF9" w:rsidRDefault="00B12EF9" w:rsidP="00B12EF9">
      <w:pPr>
        <w:rPr>
          <w:sz w:val="21"/>
        </w:rPr>
      </w:pPr>
      <w:r w:rsidRPr="00B12EF9">
        <w:rPr>
          <w:sz w:val="21"/>
        </w:rPr>
        <w:t>Low variance (&lt;0.05) suggests STABLE signals; HIGH RISK otherwise, leading to reduced position sizing or signal suppression.</w:t>
      </w:r>
    </w:p>
    <w:p w14:paraId="6AE04A66" w14:textId="77777777" w:rsidR="00B12EF9" w:rsidRPr="00B12EF9" w:rsidRDefault="00B12EF9" w:rsidP="00B12EF9">
      <w:pPr>
        <w:rPr>
          <w:sz w:val="21"/>
        </w:rPr>
      </w:pPr>
      <w:r w:rsidRPr="00B12EF9">
        <w:rPr>
          <w:sz w:val="21"/>
        </w:rPr>
        <w:t>Training configuration: Adam (</w:t>
      </w:r>
      <w:proofErr w:type="spellStart"/>
      <w:r w:rsidRPr="00B12EF9">
        <w:rPr>
          <w:sz w:val="21"/>
        </w:rPr>
        <w:t>lr</w:t>
      </w:r>
      <w:proofErr w:type="spellEnd"/>
      <w:r w:rsidRPr="00B12EF9">
        <w:rPr>
          <w:sz w:val="21"/>
        </w:rPr>
        <w:t>=0.001), binary cross-entropy, batch size=32, epochs=50, early stopping (patience=5).</w:t>
      </w:r>
    </w:p>
    <w:p w14:paraId="0A06132C" w14:textId="39930E2F" w:rsidR="00532B9E" w:rsidRDefault="00000000" w:rsidP="00B12EF9">
      <w:r>
        <w:rPr>
          <w:b/>
          <w:i/>
          <w:sz w:val="23"/>
        </w:rPr>
        <w:t>F. Dynamic ATR-Based LightGBM Labeling</w:t>
      </w:r>
    </w:p>
    <w:p w14:paraId="261A39CE" w14:textId="5F15C63E" w:rsidR="00532B9E" w:rsidRDefault="007C570C">
      <w:r w:rsidRPr="007C570C">
        <w:rPr>
          <w:sz w:val="21"/>
        </w:rPr>
        <w:t>The original system used a fixed % thresholds for Strong Buy (&gt;2%), Buy (&gt;0.5%), etc. In low volatility environments, such thresholds produce very few Strong Buy signals (class imbalance). In high volatility environments, they produce too many noisy signals. The experimental system performs a normalization by ATR</w:t>
      </w:r>
      <w:r>
        <w:rPr>
          <w:sz w:val="21"/>
        </w:rPr>
        <w:t>:</w:t>
      </w:r>
    </w:p>
    <w:p w14:paraId="57285DDD" w14:textId="77777777" w:rsidR="00532B9E" w:rsidRDefault="00000000">
      <w:pPr>
        <w:spacing w:before="120" w:after="40"/>
        <w:jc w:val="center"/>
      </w:pPr>
      <w:r>
        <w:rPr>
          <w:b/>
          <w:sz w:val="18"/>
        </w:rPr>
        <w:t>TABLE I. Dynamic ATR-Based LightGBM Target Class Definitions</w:t>
      </w:r>
    </w:p>
    <w:tbl>
      <w:tblPr>
        <w:tblW w:w="0" w:type="auto"/>
        <w:jc w:val="center"/>
        <w:tblLook w:val="04A0" w:firstRow="1" w:lastRow="0" w:firstColumn="1" w:lastColumn="0" w:noHBand="0" w:noVBand="1"/>
      </w:tblPr>
      <w:tblGrid>
        <w:gridCol w:w="1599"/>
        <w:gridCol w:w="1642"/>
        <w:gridCol w:w="1821"/>
      </w:tblGrid>
      <w:tr w:rsidR="00532B9E" w14:paraId="5A04F127" w14:textId="77777777">
        <w:trPr>
          <w:jc w:val="center"/>
        </w:trPr>
        <w:tc>
          <w:tcPr>
            <w:tcW w:w="3480" w:type="dxa"/>
            <w:tcBorders>
              <w:top w:val="single" w:sz="6" w:space="0" w:color="000000"/>
              <w:left w:val="single" w:sz="6" w:space="0" w:color="000000"/>
              <w:bottom w:val="single" w:sz="6" w:space="0" w:color="000000"/>
              <w:right w:val="single" w:sz="6" w:space="0" w:color="000000"/>
            </w:tcBorders>
            <w:shd w:val="clear" w:color="auto" w:fill="D9E2F3"/>
          </w:tcPr>
          <w:p w14:paraId="42A5D2CF" w14:textId="77777777" w:rsidR="00532B9E" w:rsidRDefault="00000000">
            <w:pPr>
              <w:jc w:val="center"/>
            </w:pPr>
            <w:r>
              <w:rPr>
                <w:b/>
                <w:sz w:val="17"/>
              </w:rPr>
              <w:t>Class</w:t>
            </w:r>
          </w:p>
        </w:tc>
        <w:tc>
          <w:tcPr>
            <w:tcW w:w="3480" w:type="dxa"/>
            <w:tcBorders>
              <w:top w:val="single" w:sz="6" w:space="0" w:color="000000"/>
              <w:left w:val="single" w:sz="6" w:space="0" w:color="000000"/>
              <w:bottom w:val="single" w:sz="6" w:space="0" w:color="000000"/>
              <w:right w:val="single" w:sz="6" w:space="0" w:color="000000"/>
            </w:tcBorders>
            <w:shd w:val="clear" w:color="auto" w:fill="D9E2F3"/>
          </w:tcPr>
          <w:p w14:paraId="6E951BC6" w14:textId="77777777" w:rsidR="00532B9E" w:rsidRDefault="00000000">
            <w:pPr>
              <w:jc w:val="center"/>
            </w:pPr>
            <w:r>
              <w:rPr>
                <w:b/>
                <w:sz w:val="17"/>
              </w:rPr>
              <w:t>Label</w:t>
            </w:r>
          </w:p>
        </w:tc>
        <w:tc>
          <w:tcPr>
            <w:tcW w:w="3480" w:type="dxa"/>
            <w:tcBorders>
              <w:top w:val="single" w:sz="6" w:space="0" w:color="000000"/>
              <w:left w:val="single" w:sz="6" w:space="0" w:color="000000"/>
              <w:bottom w:val="single" w:sz="6" w:space="0" w:color="000000"/>
              <w:right w:val="single" w:sz="6" w:space="0" w:color="000000"/>
            </w:tcBorders>
            <w:shd w:val="clear" w:color="auto" w:fill="D9E2F3"/>
          </w:tcPr>
          <w:p w14:paraId="69576D31" w14:textId="77777777" w:rsidR="00532B9E" w:rsidRDefault="00000000">
            <w:pPr>
              <w:jc w:val="center"/>
            </w:pPr>
            <w:r>
              <w:rPr>
                <w:b/>
                <w:sz w:val="17"/>
              </w:rPr>
              <w:t>ATR-Based Condition</w:t>
            </w:r>
          </w:p>
        </w:tc>
      </w:tr>
      <w:tr w:rsidR="00532B9E" w14:paraId="61362640" w14:textId="77777777">
        <w:trPr>
          <w:jc w:val="center"/>
        </w:trPr>
        <w:tc>
          <w:tcPr>
            <w:tcW w:w="3480" w:type="dxa"/>
            <w:tcBorders>
              <w:top w:val="single" w:sz="4" w:space="0" w:color="000000"/>
              <w:left w:val="single" w:sz="4" w:space="0" w:color="000000"/>
              <w:bottom w:val="single" w:sz="4" w:space="0" w:color="000000"/>
              <w:right w:val="single" w:sz="4" w:space="0" w:color="000000"/>
            </w:tcBorders>
          </w:tcPr>
          <w:p w14:paraId="0AA444C8" w14:textId="77777777" w:rsidR="00532B9E" w:rsidRDefault="00000000">
            <w:pPr>
              <w:jc w:val="center"/>
            </w:pPr>
            <w:r>
              <w:rPr>
                <w:sz w:val="17"/>
              </w:rPr>
              <w:t>0</w:t>
            </w:r>
          </w:p>
        </w:tc>
        <w:tc>
          <w:tcPr>
            <w:tcW w:w="3480" w:type="dxa"/>
            <w:tcBorders>
              <w:top w:val="single" w:sz="4" w:space="0" w:color="000000"/>
              <w:left w:val="single" w:sz="4" w:space="0" w:color="000000"/>
              <w:bottom w:val="single" w:sz="4" w:space="0" w:color="000000"/>
              <w:right w:val="single" w:sz="4" w:space="0" w:color="000000"/>
            </w:tcBorders>
          </w:tcPr>
          <w:p w14:paraId="5AEF5770" w14:textId="77777777" w:rsidR="00532B9E" w:rsidRDefault="00000000">
            <w:pPr>
              <w:jc w:val="center"/>
            </w:pPr>
            <w:r>
              <w:rPr>
                <w:sz w:val="17"/>
              </w:rPr>
              <w:t>Strong Buy</w:t>
            </w:r>
          </w:p>
        </w:tc>
        <w:tc>
          <w:tcPr>
            <w:tcW w:w="3480" w:type="dxa"/>
            <w:tcBorders>
              <w:top w:val="single" w:sz="4" w:space="0" w:color="000000"/>
              <w:left w:val="single" w:sz="4" w:space="0" w:color="000000"/>
              <w:bottom w:val="single" w:sz="4" w:space="0" w:color="000000"/>
              <w:right w:val="single" w:sz="4" w:space="0" w:color="000000"/>
            </w:tcBorders>
          </w:tcPr>
          <w:p w14:paraId="2AFA5907" w14:textId="77777777" w:rsidR="00532B9E" w:rsidRDefault="00000000">
            <w:pPr>
              <w:jc w:val="center"/>
            </w:pPr>
            <w:r>
              <w:rPr>
                <w:sz w:val="17"/>
              </w:rPr>
              <w:t>fwd_ret &gt; 1.25 × ATR(14)</w:t>
            </w:r>
          </w:p>
        </w:tc>
      </w:tr>
      <w:tr w:rsidR="00532B9E" w14:paraId="4F94D998" w14:textId="77777777">
        <w:trPr>
          <w:jc w:val="center"/>
        </w:trPr>
        <w:tc>
          <w:tcPr>
            <w:tcW w:w="3480" w:type="dxa"/>
            <w:tcBorders>
              <w:top w:val="single" w:sz="4" w:space="0" w:color="000000"/>
              <w:left w:val="single" w:sz="4" w:space="0" w:color="000000"/>
              <w:bottom w:val="single" w:sz="4" w:space="0" w:color="000000"/>
              <w:right w:val="single" w:sz="4" w:space="0" w:color="000000"/>
            </w:tcBorders>
          </w:tcPr>
          <w:p w14:paraId="756654BE" w14:textId="77777777" w:rsidR="00532B9E" w:rsidRDefault="00000000">
            <w:pPr>
              <w:jc w:val="center"/>
            </w:pPr>
            <w:r>
              <w:rPr>
                <w:sz w:val="17"/>
              </w:rPr>
              <w:t>1</w:t>
            </w:r>
          </w:p>
        </w:tc>
        <w:tc>
          <w:tcPr>
            <w:tcW w:w="3480" w:type="dxa"/>
            <w:tcBorders>
              <w:top w:val="single" w:sz="4" w:space="0" w:color="000000"/>
              <w:left w:val="single" w:sz="4" w:space="0" w:color="000000"/>
              <w:bottom w:val="single" w:sz="4" w:space="0" w:color="000000"/>
              <w:right w:val="single" w:sz="4" w:space="0" w:color="000000"/>
            </w:tcBorders>
          </w:tcPr>
          <w:p w14:paraId="71CDE1A6" w14:textId="77777777" w:rsidR="00532B9E" w:rsidRDefault="00000000">
            <w:pPr>
              <w:jc w:val="center"/>
            </w:pPr>
            <w:r>
              <w:rPr>
                <w:sz w:val="17"/>
              </w:rPr>
              <w:t>Buy</w:t>
            </w:r>
          </w:p>
        </w:tc>
        <w:tc>
          <w:tcPr>
            <w:tcW w:w="3480" w:type="dxa"/>
            <w:tcBorders>
              <w:top w:val="single" w:sz="4" w:space="0" w:color="000000"/>
              <w:left w:val="single" w:sz="4" w:space="0" w:color="000000"/>
              <w:bottom w:val="single" w:sz="4" w:space="0" w:color="000000"/>
              <w:right w:val="single" w:sz="4" w:space="0" w:color="000000"/>
            </w:tcBorders>
          </w:tcPr>
          <w:p w14:paraId="02569B6A" w14:textId="77777777" w:rsidR="00532B9E" w:rsidRDefault="00000000">
            <w:pPr>
              <w:jc w:val="center"/>
            </w:pPr>
            <w:r>
              <w:rPr>
                <w:sz w:val="17"/>
              </w:rPr>
              <w:t>0.25 × ATR &lt; fwd_ret ≤ 1.25 × ATR</w:t>
            </w:r>
          </w:p>
        </w:tc>
      </w:tr>
      <w:tr w:rsidR="00532B9E" w14:paraId="0D75C0C8" w14:textId="77777777">
        <w:trPr>
          <w:jc w:val="center"/>
        </w:trPr>
        <w:tc>
          <w:tcPr>
            <w:tcW w:w="3480" w:type="dxa"/>
            <w:tcBorders>
              <w:top w:val="single" w:sz="4" w:space="0" w:color="000000"/>
              <w:left w:val="single" w:sz="4" w:space="0" w:color="000000"/>
              <w:bottom w:val="single" w:sz="4" w:space="0" w:color="000000"/>
              <w:right w:val="single" w:sz="4" w:space="0" w:color="000000"/>
            </w:tcBorders>
          </w:tcPr>
          <w:p w14:paraId="1C6C7CE2" w14:textId="77777777" w:rsidR="00532B9E" w:rsidRDefault="00000000">
            <w:pPr>
              <w:jc w:val="center"/>
            </w:pPr>
            <w:r>
              <w:rPr>
                <w:sz w:val="17"/>
              </w:rPr>
              <w:t>2</w:t>
            </w:r>
          </w:p>
        </w:tc>
        <w:tc>
          <w:tcPr>
            <w:tcW w:w="3480" w:type="dxa"/>
            <w:tcBorders>
              <w:top w:val="single" w:sz="4" w:space="0" w:color="000000"/>
              <w:left w:val="single" w:sz="4" w:space="0" w:color="000000"/>
              <w:bottom w:val="single" w:sz="4" w:space="0" w:color="000000"/>
              <w:right w:val="single" w:sz="4" w:space="0" w:color="000000"/>
            </w:tcBorders>
          </w:tcPr>
          <w:p w14:paraId="08FF9A5C" w14:textId="77777777" w:rsidR="00532B9E" w:rsidRDefault="00000000">
            <w:pPr>
              <w:jc w:val="center"/>
            </w:pPr>
            <w:r>
              <w:rPr>
                <w:sz w:val="17"/>
              </w:rPr>
              <w:t>Hold</w:t>
            </w:r>
          </w:p>
        </w:tc>
        <w:tc>
          <w:tcPr>
            <w:tcW w:w="3480" w:type="dxa"/>
            <w:tcBorders>
              <w:top w:val="single" w:sz="4" w:space="0" w:color="000000"/>
              <w:left w:val="single" w:sz="4" w:space="0" w:color="000000"/>
              <w:bottom w:val="single" w:sz="4" w:space="0" w:color="000000"/>
              <w:right w:val="single" w:sz="4" w:space="0" w:color="000000"/>
            </w:tcBorders>
          </w:tcPr>
          <w:p w14:paraId="50D16DFF" w14:textId="77777777" w:rsidR="00532B9E" w:rsidRDefault="00000000">
            <w:pPr>
              <w:jc w:val="center"/>
            </w:pPr>
            <w:r>
              <w:rPr>
                <w:sz w:val="17"/>
              </w:rPr>
              <w:t>−0.5 × ATR &lt; fwd_ret ≤ 0.25 × ATR</w:t>
            </w:r>
          </w:p>
        </w:tc>
      </w:tr>
      <w:tr w:rsidR="00532B9E" w14:paraId="5E39650E" w14:textId="77777777">
        <w:trPr>
          <w:jc w:val="center"/>
        </w:trPr>
        <w:tc>
          <w:tcPr>
            <w:tcW w:w="3480" w:type="dxa"/>
            <w:tcBorders>
              <w:top w:val="single" w:sz="4" w:space="0" w:color="000000"/>
              <w:left w:val="single" w:sz="4" w:space="0" w:color="000000"/>
              <w:bottom w:val="single" w:sz="4" w:space="0" w:color="000000"/>
              <w:right w:val="single" w:sz="4" w:space="0" w:color="000000"/>
            </w:tcBorders>
          </w:tcPr>
          <w:p w14:paraId="797176C5" w14:textId="77777777" w:rsidR="00532B9E" w:rsidRDefault="00000000">
            <w:pPr>
              <w:jc w:val="center"/>
            </w:pPr>
            <w:r>
              <w:rPr>
                <w:sz w:val="17"/>
              </w:rPr>
              <w:t>3</w:t>
            </w:r>
          </w:p>
        </w:tc>
        <w:tc>
          <w:tcPr>
            <w:tcW w:w="3480" w:type="dxa"/>
            <w:tcBorders>
              <w:top w:val="single" w:sz="4" w:space="0" w:color="000000"/>
              <w:left w:val="single" w:sz="4" w:space="0" w:color="000000"/>
              <w:bottom w:val="single" w:sz="4" w:space="0" w:color="000000"/>
              <w:right w:val="single" w:sz="4" w:space="0" w:color="000000"/>
            </w:tcBorders>
          </w:tcPr>
          <w:p w14:paraId="10E653AA" w14:textId="77777777" w:rsidR="00532B9E" w:rsidRDefault="00000000">
            <w:pPr>
              <w:jc w:val="center"/>
            </w:pPr>
            <w:r>
              <w:rPr>
                <w:sz w:val="17"/>
              </w:rPr>
              <w:t>Sell</w:t>
            </w:r>
          </w:p>
        </w:tc>
        <w:tc>
          <w:tcPr>
            <w:tcW w:w="3480" w:type="dxa"/>
            <w:tcBorders>
              <w:top w:val="single" w:sz="4" w:space="0" w:color="000000"/>
              <w:left w:val="single" w:sz="4" w:space="0" w:color="000000"/>
              <w:bottom w:val="single" w:sz="4" w:space="0" w:color="000000"/>
              <w:right w:val="single" w:sz="4" w:space="0" w:color="000000"/>
            </w:tcBorders>
          </w:tcPr>
          <w:p w14:paraId="6F244A0A" w14:textId="77777777" w:rsidR="00532B9E" w:rsidRDefault="00000000">
            <w:pPr>
              <w:jc w:val="center"/>
            </w:pPr>
            <w:r>
              <w:rPr>
                <w:sz w:val="17"/>
              </w:rPr>
              <w:t>fwd_ret ≤ −0.5 × ATR(14)</w:t>
            </w:r>
          </w:p>
        </w:tc>
      </w:tr>
    </w:tbl>
    <w:p w14:paraId="5AE6BB00" w14:textId="77777777" w:rsidR="00532B9E" w:rsidRDefault="00532B9E"/>
    <w:p w14:paraId="13EE7493" w14:textId="77777777" w:rsidR="007C570C" w:rsidRPr="007C570C" w:rsidRDefault="007C570C" w:rsidP="007C570C">
      <w:pPr>
        <w:spacing w:before="120" w:after="40"/>
        <w:rPr>
          <w:sz w:val="21"/>
        </w:rPr>
      </w:pPr>
      <w:r w:rsidRPr="007C570C">
        <w:rPr>
          <w:sz w:val="21"/>
        </w:rPr>
        <w:t xml:space="preserve">One </w:t>
      </w:r>
      <w:proofErr w:type="spellStart"/>
      <w:r w:rsidRPr="007C570C">
        <w:rPr>
          <w:sz w:val="21"/>
        </w:rPr>
        <w:t>LightGBM</w:t>
      </w:r>
      <w:proofErr w:type="spellEnd"/>
      <w:r w:rsidRPr="007C570C">
        <w:rPr>
          <w:sz w:val="21"/>
        </w:rPr>
        <w:t xml:space="preserve"> model is trained on all regimes at once (regime is an additional input feature that takes values from 0 to 3). The hyperparameters are selected using a random search over a grid of values for </w:t>
      </w:r>
      <w:proofErr w:type="spellStart"/>
      <w:r w:rsidRPr="007C570C">
        <w:rPr>
          <w:sz w:val="21"/>
        </w:rPr>
        <w:t>num_leaves</w:t>
      </w:r>
      <w:proofErr w:type="spellEnd"/>
      <w:r w:rsidRPr="007C570C">
        <w:rPr>
          <w:sz w:val="21"/>
        </w:rPr>
        <w:t xml:space="preserve">, </w:t>
      </w:r>
      <w:proofErr w:type="spellStart"/>
      <w:r w:rsidRPr="007C570C">
        <w:rPr>
          <w:sz w:val="21"/>
        </w:rPr>
        <w:t>learning_rate</w:t>
      </w:r>
      <w:proofErr w:type="spellEnd"/>
      <w:r w:rsidRPr="007C570C">
        <w:rPr>
          <w:sz w:val="21"/>
        </w:rPr>
        <w:t xml:space="preserve">, </w:t>
      </w:r>
      <w:proofErr w:type="spellStart"/>
      <w:r w:rsidRPr="007C570C">
        <w:rPr>
          <w:sz w:val="21"/>
        </w:rPr>
        <w:t>n_estimators</w:t>
      </w:r>
      <w:proofErr w:type="spellEnd"/>
      <w:r w:rsidRPr="007C570C">
        <w:rPr>
          <w:sz w:val="21"/>
        </w:rPr>
        <w:t xml:space="preserve">, subsample, </w:t>
      </w:r>
      <w:proofErr w:type="spellStart"/>
      <w:r w:rsidRPr="007C570C">
        <w:rPr>
          <w:sz w:val="21"/>
        </w:rPr>
        <w:t>reg_alpha</w:t>
      </w:r>
      <w:proofErr w:type="spellEnd"/>
      <w:r w:rsidRPr="007C570C">
        <w:rPr>
          <w:sz w:val="21"/>
        </w:rPr>
        <w:t xml:space="preserve">, and </w:t>
      </w:r>
      <w:proofErr w:type="spellStart"/>
      <w:r w:rsidRPr="007C570C">
        <w:rPr>
          <w:sz w:val="21"/>
        </w:rPr>
        <w:t>reg_lambda</w:t>
      </w:r>
      <w:proofErr w:type="spellEnd"/>
      <w:r w:rsidRPr="007C570C">
        <w:rPr>
          <w:sz w:val="21"/>
        </w:rPr>
        <w:t xml:space="preserve"> with 10 iterations each. The class weights were set to ‘balanced’ to account for the fact that in daily direction prediction, classes are severely imbalanced.</w:t>
      </w:r>
    </w:p>
    <w:p w14:paraId="027AB423" w14:textId="77777777" w:rsidR="007C570C" w:rsidRDefault="007C570C" w:rsidP="007C570C">
      <w:pPr>
        <w:spacing w:before="120" w:after="40"/>
        <w:rPr>
          <w:sz w:val="21"/>
        </w:rPr>
      </w:pPr>
      <w:r w:rsidRPr="007C570C">
        <w:rPr>
          <w:sz w:val="21"/>
        </w:rPr>
        <w:t xml:space="preserve">The four market regimes are defined based on the </w:t>
      </w:r>
      <w:proofErr w:type="gramStart"/>
      <w:r w:rsidRPr="007C570C">
        <w:rPr>
          <w:sz w:val="21"/>
        </w:rPr>
        <w:t>EMA(</w:t>
      </w:r>
      <w:proofErr w:type="gramEnd"/>
      <w:r w:rsidRPr="007C570C">
        <w:rPr>
          <w:sz w:val="21"/>
        </w:rPr>
        <w:t xml:space="preserve">50) and </w:t>
      </w:r>
      <w:proofErr w:type="gramStart"/>
      <w:r w:rsidRPr="007C570C">
        <w:rPr>
          <w:sz w:val="21"/>
        </w:rPr>
        <w:t>ADX(</w:t>
      </w:r>
      <w:proofErr w:type="gramEnd"/>
      <w:r w:rsidRPr="007C570C">
        <w:rPr>
          <w:sz w:val="21"/>
        </w:rPr>
        <w:t>14):</w:t>
      </w:r>
    </w:p>
    <w:p w14:paraId="7CE715AD" w14:textId="5DF45C02" w:rsidR="00532B9E" w:rsidRDefault="00000000" w:rsidP="007C570C">
      <w:pPr>
        <w:spacing w:before="120" w:after="40"/>
        <w:jc w:val="center"/>
      </w:pPr>
      <w:r>
        <w:rPr>
          <w:b/>
          <w:sz w:val="18"/>
        </w:rPr>
        <w:t>TABLE II. Market Regime Classification Rules</w:t>
      </w:r>
    </w:p>
    <w:tbl>
      <w:tblPr>
        <w:tblW w:w="0" w:type="auto"/>
        <w:jc w:val="center"/>
        <w:tblLook w:val="04A0" w:firstRow="1" w:lastRow="0" w:firstColumn="1" w:lastColumn="0" w:noHBand="0" w:noVBand="1"/>
      </w:tblPr>
      <w:tblGrid>
        <w:gridCol w:w="1629"/>
        <w:gridCol w:w="1752"/>
        <w:gridCol w:w="1681"/>
      </w:tblGrid>
      <w:tr w:rsidR="00532B9E" w14:paraId="2414390E" w14:textId="77777777">
        <w:trPr>
          <w:jc w:val="center"/>
        </w:trPr>
        <w:tc>
          <w:tcPr>
            <w:tcW w:w="3480" w:type="dxa"/>
            <w:tcBorders>
              <w:top w:val="single" w:sz="6" w:space="0" w:color="000000"/>
              <w:left w:val="single" w:sz="6" w:space="0" w:color="000000"/>
              <w:bottom w:val="single" w:sz="6" w:space="0" w:color="000000"/>
              <w:right w:val="single" w:sz="6" w:space="0" w:color="000000"/>
            </w:tcBorders>
            <w:shd w:val="clear" w:color="auto" w:fill="D9E2F3"/>
          </w:tcPr>
          <w:p w14:paraId="48379BD6" w14:textId="77777777" w:rsidR="00532B9E" w:rsidRDefault="00000000">
            <w:pPr>
              <w:jc w:val="center"/>
            </w:pPr>
            <w:r>
              <w:rPr>
                <w:b/>
                <w:sz w:val="17"/>
              </w:rPr>
              <w:t>Regime</w:t>
            </w:r>
          </w:p>
        </w:tc>
        <w:tc>
          <w:tcPr>
            <w:tcW w:w="3480" w:type="dxa"/>
            <w:tcBorders>
              <w:top w:val="single" w:sz="6" w:space="0" w:color="000000"/>
              <w:left w:val="single" w:sz="6" w:space="0" w:color="000000"/>
              <w:bottom w:val="single" w:sz="6" w:space="0" w:color="000000"/>
              <w:right w:val="single" w:sz="6" w:space="0" w:color="000000"/>
            </w:tcBorders>
            <w:shd w:val="clear" w:color="auto" w:fill="D9E2F3"/>
          </w:tcPr>
          <w:p w14:paraId="186242AD" w14:textId="77777777" w:rsidR="00532B9E" w:rsidRDefault="00000000">
            <w:pPr>
              <w:jc w:val="center"/>
            </w:pPr>
            <w:r>
              <w:rPr>
                <w:b/>
                <w:sz w:val="17"/>
              </w:rPr>
              <w:t>Condition</w:t>
            </w:r>
          </w:p>
        </w:tc>
        <w:tc>
          <w:tcPr>
            <w:tcW w:w="3480" w:type="dxa"/>
            <w:tcBorders>
              <w:top w:val="single" w:sz="6" w:space="0" w:color="000000"/>
              <w:left w:val="single" w:sz="6" w:space="0" w:color="000000"/>
              <w:bottom w:val="single" w:sz="6" w:space="0" w:color="000000"/>
              <w:right w:val="single" w:sz="6" w:space="0" w:color="000000"/>
            </w:tcBorders>
            <w:shd w:val="clear" w:color="auto" w:fill="D9E2F3"/>
          </w:tcPr>
          <w:p w14:paraId="0CA4A9D6" w14:textId="77777777" w:rsidR="00532B9E" w:rsidRDefault="00000000">
            <w:pPr>
              <w:jc w:val="center"/>
            </w:pPr>
            <w:r>
              <w:rPr>
                <w:b/>
                <w:sz w:val="17"/>
              </w:rPr>
              <w:t>Label</w:t>
            </w:r>
          </w:p>
        </w:tc>
      </w:tr>
      <w:tr w:rsidR="00532B9E" w14:paraId="752DE1A0" w14:textId="77777777">
        <w:trPr>
          <w:jc w:val="center"/>
        </w:trPr>
        <w:tc>
          <w:tcPr>
            <w:tcW w:w="3480" w:type="dxa"/>
            <w:tcBorders>
              <w:top w:val="single" w:sz="4" w:space="0" w:color="000000"/>
              <w:left w:val="single" w:sz="4" w:space="0" w:color="000000"/>
              <w:bottom w:val="single" w:sz="4" w:space="0" w:color="000000"/>
              <w:right w:val="single" w:sz="4" w:space="0" w:color="000000"/>
            </w:tcBorders>
          </w:tcPr>
          <w:p w14:paraId="36DD9E69" w14:textId="77777777" w:rsidR="00532B9E" w:rsidRDefault="00000000">
            <w:pPr>
              <w:jc w:val="center"/>
            </w:pPr>
            <w:r>
              <w:rPr>
                <w:sz w:val="17"/>
              </w:rPr>
              <w:t>0</w:t>
            </w:r>
          </w:p>
        </w:tc>
        <w:tc>
          <w:tcPr>
            <w:tcW w:w="3480" w:type="dxa"/>
            <w:tcBorders>
              <w:top w:val="single" w:sz="4" w:space="0" w:color="000000"/>
              <w:left w:val="single" w:sz="4" w:space="0" w:color="000000"/>
              <w:bottom w:val="single" w:sz="4" w:space="0" w:color="000000"/>
              <w:right w:val="single" w:sz="4" w:space="0" w:color="000000"/>
            </w:tcBorders>
          </w:tcPr>
          <w:p w14:paraId="6F12F131" w14:textId="77777777" w:rsidR="00532B9E" w:rsidRDefault="00000000">
            <w:pPr>
              <w:jc w:val="center"/>
            </w:pPr>
            <w:r>
              <w:rPr>
                <w:sz w:val="17"/>
              </w:rPr>
              <w:t>C_t &gt; EMA₅₀ AND ADX &gt; 25</w:t>
            </w:r>
          </w:p>
        </w:tc>
        <w:tc>
          <w:tcPr>
            <w:tcW w:w="3480" w:type="dxa"/>
            <w:tcBorders>
              <w:top w:val="single" w:sz="4" w:space="0" w:color="000000"/>
              <w:left w:val="single" w:sz="4" w:space="0" w:color="000000"/>
              <w:bottom w:val="single" w:sz="4" w:space="0" w:color="000000"/>
              <w:right w:val="single" w:sz="4" w:space="0" w:color="000000"/>
            </w:tcBorders>
          </w:tcPr>
          <w:p w14:paraId="44BBD6D7" w14:textId="77777777" w:rsidR="00532B9E" w:rsidRDefault="00000000">
            <w:pPr>
              <w:jc w:val="center"/>
            </w:pPr>
            <w:r>
              <w:rPr>
                <w:sz w:val="17"/>
              </w:rPr>
              <w:t>Bull Trending</w:t>
            </w:r>
          </w:p>
        </w:tc>
      </w:tr>
      <w:tr w:rsidR="00532B9E" w14:paraId="597BB000" w14:textId="77777777">
        <w:trPr>
          <w:jc w:val="center"/>
        </w:trPr>
        <w:tc>
          <w:tcPr>
            <w:tcW w:w="3480" w:type="dxa"/>
            <w:tcBorders>
              <w:top w:val="single" w:sz="4" w:space="0" w:color="000000"/>
              <w:left w:val="single" w:sz="4" w:space="0" w:color="000000"/>
              <w:bottom w:val="single" w:sz="4" w:space="0" w:color="000000"/>
              <w:right w:val="single" w:sz="4" w:space="0" w:color="000000"/>
            </w:tcBorders>
          </w:tcPr>
          <w:p w14:paraId="7C35AA10" w14:textId="77777777" w:rsidR="00532B9E" w:rsidRDefault="00000000">
            <w:pPr>
              <w:jc w:val="center"/>
            </w:pPr>
            <w:r>
              <w:rPr>
                <w:sz w:val="17"/>
              </w:rPr>
              <w:t>1</w:t>
            </w:r>
          </w:p>
        </w:tc>
        <w:tc>
          <w:tcPr>
            <w:tcW w:w="3480" w:type="dxa"/>
            <w:tcBorders>
              <w:top w:val="single" w:sz="4" w:space="0" w:color="000000"/>
              <w:left w:val="single" w:sz="4" w:space="0" w:color="000000"/>
              <w:bottom w:val="single" w:sz="4" w:space="0" w:color="000000"/>
              <w:right w:val="single" w:sz="4" w:space="0" w:color="000000"/>
            </w:tcBorders>
          </w:tcPr>
          <w:p w14:paraId="31CA1A3B" w14:textId="77777777" w:rsidR="00532B9E" w:rsidRDefault="00000000">
            <w:pPr>
              <w:jc w:val="center"/>
            </w:pPr>
            <w:r>
              <w:rPr>
                <w:sz w:val="17"/>
              </w:rPr>
              <w:t>C_t &gt; EMA₅₀ AND ADX ≤ 25</w:t>
            </w:r>
          </w:p>
        </w:tc>
        <w:tc>
          <w:tcPr>
            <w:tcW w:w="3480" w:type="dxa"/>
            <w:tcBorders>
              <w:top w:val="single" w:sz="4" w:space="0" w:color="000000"/>
              <w:left w:val="single" w:sz="4" w:space="0" w:color="000000"/>
              <w:bottom w:val="single" w:sz="4" w:space="0" w:color="000000"/>
              <w:right w:val="single" w:sz="4" w:space="0" w:color="000000"/>
            </w:tcBorders>
          </w:tcPr>
          <w:p w14:paraId="315D0AFF" w14:textId="77777777" w:rsidR="00532B9E" w:rsidRDefault="00000000">
            <w:pPr>
              <w:jc w:val="center"/>
            </w:pPr>
            <w:r>
              <w:rPr>
                <w:sz w:val="17"/>
              </w:rPr>
              <w:t>Bull Ranging</w:t>
            </w:r>
          </w:p>
        </w:tc>
      </w:tr>
      <w:tr w:rsidR="00532B9E" w14:paraId="14A45720" w14:textId="77777777">
        <w:trPr>
          <w:jc w:val="center"/>
        </w:trPr>
        <w:tc>
          <w:tcPr>
            <w:tcW w:w="3480" w:type="dxa"/>
            <w:tcBorders>
              <w:top w:val="single" w:sz="4" w:space="0" w:color="000000"/>
              <w:left w:val="single" w:sz="4" w:space="0" w:color="000000"/>
              <w:bottom w:val="single" w:sz="4" w:space="0" w:color="000000"/>
              <w:right w:val="single" w:sz="4" w:space="0" w:color="000000"/>
            </w:tcBorders>
          </w:tcPr>
          <w:p w14:paraId="791BE842" w14:textId="77777777" w:rsidR="00532B9E" w:rsidRDefault="00000000">
            <w:pPr>
              <w:jc w:val="center"/>
            </w:pPr>
            <w:r>
              <w:rPr>
                <w:sz w:val="17"/>
              </w:rPr>
              <w:t>2</w:t>
            </w:r>
          </w:p>
        </w:tc>
        <w:tc>
          <w:tcPr>
            <w:tcW w:w="3480" w:type="dxa"/>
            <w:tcBorders>
              <w:top w:val="single" w:sz="4" w:space="0" w:color="000000"/>
              <w:left w:val="single" w:sz="4" w:space="0" w:color="000000"/>
              <w:bottom w:val="single" w:sz="4" w:space="0" w:color="000000"/>
              <w:right w:val="single" w:sz="4" w:space="0" w:color="000000"/>
            </w:tcBorders>
          </w:tcPr>
          <w:p w14:paraId="3EAA1A45" w14:textId="77777777" w:rsidR="00532B9E" w:rsidRDefault="00000000">
            <w:pPr>
              <w:jc w:val="center"/>
            </w:pPr>
            <w:r>
              <w:rPr>
                <w:sz w:val="17"/>
              </w:rPr>
              <w:t>C_t ≤ EMA₅₀ AND ADX &gt; 25</w:t>
            </w:r>
          </w:p>
        </w:tc>
        <w:tc>
          <w:tcPr>
            <w:tcW w:w="3480" w:type="dxa"/>
            <w:tcBorders>
              <w:top w:val="single" w:sz="4" w:space="0" w:color="000000"/>
              <w:left w:val="single" w:sz="4" w:space="0" w:color="000000"/>
              <w:bottom w:val="single" w:sz="4" w:space="0" w:color="000000"/>
              <w:right w:val="single" w:sz="4" w:space="0" w:color="000000"/>
            </w:tcBorders>
          </w:tcPr>
          <w:p w14:paraId="1EBEB14B" w14:textId="77777777" w:rsidR="00532B9E" w:rsidRDefault="00000000">
            <w:pPr>
              <w:jc w:val="center"/>
            </w:pPr>
            <w:r>
              <w:rPr>
                <w:sz w:val="17"/>
              </w:rPr>
              <w:t>Bear Trending</w:t>
            </w:r>
          </w:p>
        </w:tc>
      </w:tr>
      <w:tr w:rsidR="00532B9E" w14:paraId="41DD53E6" w14:textId="77777777">
        <w:trPr>
          <w:jc w:val="center"/>
        </w:trPr>
        <w:tc>
          <w:tcPr>
            <w:tcW w:w="3480" w:type="dxa"/>
            <w:tcBorders>
              <w:top w:val="single" w:sz="4" w:space="0" w:color="000000"/>
              <w:left w:val="single" w:sz="4" w:space="0" w:color="000000"/>
              <w:bottom w:val="single" w:sz="4" w:space="0" w:color="000000"/>
              <w:right w:val="single" w:sz="4" w:space="0" w:color="000000"/>
            </w:tcBorders>
          </w:tcPr>
          <w:p w14:paraId="7FAF2809" w14:textId="77777777" w:rsidR="00532B9E" w:rsidRDefault="00000000">
            <w:pPr>
              <w:jc w:val="center"/>
            </w:pPr>
            <w:r>
              <w:rPr>
                <w:sz w:val="17"/>
              </w:rPr>
              <w:t>3</w:t>
            </w:r>
          </w:p>
        </w:tc>
        <w:tc>
          <w:tcPr>
            <w:tcW w:w="3480" w:type="dxa"/>
            <w:tcBorders>
              <w:top w:val="single" w:sz="4" w:space="0" w:color="000000"/>
              <w:left w:val="single" w:sz="4" w:space="0" w:color="000000"/>
              <w:bottom w:val="single" w:sz="4" w:space="0" w:color="000000"/>
              <w:right w:val="single" w:sz="4" w:space="0" w:color="000000"/>
            </w:tcBorders>
          </w:tcPr>
          <w:p w14:paraId="7D9FD10F" w14:textId="77777777" w:rsidR="00532B9E" w:rsidRDefault="00000000">
            <w:pPr>
              <w:jc w:val="center"/>
            </w:pPr>
            <w:r>
              <w:rPr>
                <w:sz w:val="17"/>
              </w:rPr>
              <w:t>C_t ≤ EMA₅₀ AND ADX ≤ 25</w:t>
            </w:r>
          </w:p>
        </w:tc>
        <w:tc>
          <w:tcPr>
            <w:tcW w:w="3480" w:type="dxa"/>
            <w:tcBorders>
              <w:top w:val="single" w:sz="4" w:space="0" w:color="000000"/>
              <w:left w:val="single" w:sz="4" w:space="0" w:color="000000"/>
              <w:bottom w:val="single" w:sz="4" w:space="0" w:color="000000"/>
              <w:right w:val="single" w:sz="4" w:space="0" w:color="000000"/>
            </w:tcBorders>
          </w:tcPr>
          <w:p w14:paraId="77242CF3" w14:textId="77777777" w:rsidR="00532B9E" w:rsidRDefault="00000000">
            <w:pPr>
              <w:jc w:val="center"/>
            </w:pPr>
            <w:r>
              <w:rPr>
                <w:sz w:val="17"/>
              </w:rPr>
              <w:t>Bear Ranging</w:t>
            </w:r>
          </w:p>
        </w:tc>
      </w:tr>
    </w:tbl>
    <w:p w14:paraId="62E86E80" w14:textId="77777777" w:rsidR="00532B9E" w:rsidRDefault="00532B9E"/>
    <w:p w14:paraId="09E41D70" w14:textId="77777777" w:rsidR="00532B9E" w:rsidRDefault="00000000">
      <w:pPr>
        <w:spacing w:before="120" w:after="40"/>
        <w:jc w:val="center"/>
      </w:pPr>
      <w:r>
        <w:rPr>
          <w:noProof/>
        </w:rPr>
        <w:drawing>
          <wp:inline distT="0" distB="0" distL="0" distR="0" wp14:anchorId="350DEE7F" wp14:editId="72834205">
            <wp:extent cx="2743200" cy="11756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regime_plot.png"/>
                    <pic:cNvPicPr/>
                  </pic:nvPicPr>
                  <pic:blipFill>
                    <a:blip r:embed="rId6"/>
                    <a:stretch>
                      <a:fillRect/>
                    </a:stretch>
                  </pic:blipFill>
                  <pic:spPr>
                    <a:xfrm>
                      <a:off x="0" y="0"/>
                      <a:ext cx="2743200" cy="1175657"/>
                    </a:xfrm>
                    <a:prstGeom prst="rect">
                      <a:avLst/>
                    </a:prstGeom>
                  </pic:spPr>
                </pic:pic>
              </a:graphicData>
            </a:graphic>
          </wp:inline>
        </w:drawing>
      </w:r>
    </w:p>
    <w:p w14:paraId="0F4A0B9C" w14:textId="65D61483" w:rsidR="00532B9E" w:rsidRDefault="00000000">
      <w:pPr>
        <w:spacing w:before="40" w:after="120"/>
        <w:jc w:val="center"/>
      </w:pPr>
      <w:r>
        <w:rPr>
          <w:i/>
          <w:sz w:val="18"/>
        </w:rPr>
        <w:t xml:space="preserve">Fig. 1. </w:t>
      </w:r>
      <w:r w:rsidR="007C570C" w:rsidRPr="007C570C">
        <w:rPr>
          <w:i/>
          <w:sz w:val="18"/>
        </w:rPr>
        <w:t>A dynamic market regime identification on out-of-sample data with color bands indication: bull trending (dark green), bull ranging (light green), bear trending (dark red), bear ranging (light red).</w:t>
      </w:r>
    </w:p>
    <w:p w14:paraId="26AC22CF" w14:textId="77777777" w:rsidR="00532B9E" w:rsidRDefault="00000000">
      <w:pPr>
        <w:spacing w:before="160" w:after="80"/>
      </w:pPr>
      <w:r>
        <w:rPr>
          <w:b/>
          <w:i/>
          <w:sz w:val="23"/>
        </w:rPr>
        <w:t>G. SHAP Explainability</w:t>
      </w:r>
    </w:p>
    <w:p w14:paraId="2E0DAFF2" w14:textId="77777777" w:rsidR="00D47520" w:rsidRDefault="007C570C" w:rsidP="00D47520">
      <w:pPr>
        <w:spacing w:before="120" w:after="40"/>
        <w:rPr>
          <w:sz w:val="21"/>
        </w:rPr>
      </w:pPr>
      <w:proofErr w:type="spellStart"/>
      <w:r w:rsidRPr="007C570C">
        <w:rPr>
          <w:sz w:val="21"/>
        </w:rPr>
        <w:t>SHapley</w:t>
      </w:r>
      <w:proofErr w:type="spellEnd"/>
      <w:r w:rsidRPr="007C570C">
        <w:rPr>
          <w:sz w:val="21"/>
        </w:rPr>
        <w:t xml:space="preserve"> Additive </w:t>
      </w:r>
      <w:proofErr w:type="spellStart"/>
      <w:r w:rsidRPr="007C570C">
        <w:rPr>
          <w:sz w:val="21"/>
        </w:rPr>
        <w:t>exPlanations</w:t>
      </w:r>
      <w:proofErr w:type="spellEnd"/>
      <w:r w:rsidRPr="007C570C">
        <w:rPr>
          <w:sz w:val="21"/>
        </w:rPr>
        <w:t xml:space="preserve"> Summary Report (SHAP) [14] (see also, Ruf &amp; Wang [22] on model explainability) are calculated using the </w:t>
      </w:r>
      <w:proofErr w:type="spellStart"/>
      <w:r w:rsidRPr="007C570C">
        <w:rPr>
          <w:sz w:val="21"/>
        </w:rPr>
        <w:t>TreeExplainer</w:t>
      </w:r>
      <w:proofErr w:type="spellEnd"/>
      <w:r w:rsidRPr="007C570C">
        <w:rPr>
          <w:sz w:val="21"/>
        </w:rPr>
        <w:t xml:space="preserve"> for the </w:t>
      </w:r>
      <w:proofErr w:type="spellStart"/>
      <w:r w:rsidRPr="007C570C">
        <w:rPr>
          <w:sz w:val="21"/>
        </w:rPr>
        <w:t>LightGBM</w:t>
      </w:r>
      <w:proofErr w:type="spellEnd"/>
      <w:r w:rsidRPr="007C570C">
        <w:rPr>
          <w:sz w:val="21"/>
        </w:rPr>
        <w:t xml:space="preserve"> algorithm. SHAP values account for the contribution of each input feature, thus explaining the prediction mechanism of the model. The interpretability of the results satisfies both the requirements of the Financial Conduct Authority and practitioners that analyze the model before actual deployment</w:t>
      </w:r>
    </w:p>
    <w:p w14:paraId="4BE916DC" w14:textId="66E9AFE4" w:rsidR="00532B9E" w:rsidRDefault="00000000" w:rsidP="00594C5F">
      <w:pPr>
        <w:spacing w:before="120" w:after="40"/>
        <w:jc w:val="center"/>
      </w:pPr>
      <w:r>
        <w:rPr>
          <w:noProof/>
        </w:rPr>
        <w:lastRenderedPageBreak/>
        <w:drawing>
          <wp:inline distT="0" distB="0" distL="0" distR="0" wp14:anchorId="3088A963" wp14:editId="05D70047">
            <wp:extent cx="2743200" cy="2393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NS_shap_summary.png"/>
                    <pic:cNvPicPr/>
                  </pic:nvPicPr>
                  <pic:blipFill>
                    <a:blip r:embed="rId7"/>
                    <a:stretch>
                      <a:fillRect/>
                    </a:stretch>
                  </pic:blipFill>
                  <pic:spPr>
                    <a:xfrm>
                      <a:off x="0" y="0"/>
                      <a:ext cx="2743200" cy="2393528"/>
                    </a:xfrm>
                    <a:prstGeom prst="rect">
                      <a:avLst/>
                    </a:prstGeom>
                  </pic:spPr>
                </pic:pic>
              </a:graphicData>
            </a:graphic>
          </wp:inline>
        </w:drawing>
      </w:r>
    </w:p>
    <w:p w14:paraId="481EC5B8" w14:textId="77777777" w:rsidR="00532B9E" w:rsidRDefault="00000000">
      <w:pPr>
        <w:spacing w:before="40" w:after="120"/>
        <w:jc w:val="center"/>
      </w:pPr>
      <w:r>
        <w:rPr>
          <w:i/>
          <w:sz w:val="18"/>
        </w:rPr>
        <w:t>Fig. 2. SHAP feature importance (RELIANCE.NS). Features ranked by mean |SHAP value|. GARCH conditional volatility, recent rolling returns, and ATR features dominate, confirming volatility-aware and momentum signals as primary predictors.</w:t>
      </w:r>
    </w:p>
    <w:p w14:paraId="5F940ED7" w14:textId="77777777" w:rsidR="00532B9E" w:rsidRDefault="00000000">
      <w:pPr>
        <w:spacing w:before="160" w:after="80"/>
      </w:pPr>
      <w:r>
        <w:rPr>
          <w:b/>
          <w:i/>
          <w:sz w:val="23"/>
        </w:rPr>
        <w:t>H. Rank-Blend Meta-Learner</w:t>
      </w:r>
    </w:p>
    <w:p w14:paraId="001B8F05" w14:textId="7674E1BD" w:rsidR="00594C5F" w:rsidRDefault="00594C5F">
      <w:pPr>
        <w:tabs>
          <w:tab w:val="center" w:pos="2520"/>
          <w:tab w:val="right" w:pos="5040"/>
        </w:tabs>
        <w:spacing w:before="80" w:after="80"/>
        <w:rPr>
          <w:sz w:val="21"/>
        </w:rPr>
      </w:pPr>
      <w:r w:rsidRPr="00594C5F">
        <w:rPr>
          <w:sz w:val="21"/>
        </w:rPr>
        <w:t xml:space="preserve">The meta-learner is fed with the probabilities output by the TCN ((scalar </w:t>
      </w:r>
      <w:proofErr w:type="spellStart"/>
      <w:r w:rsidRPr="00594C5F">
        <w:rPr>
          <w:sz w:val="21"/>
        </w:rPr>
        <w:t>p_</w:t>
      </w:r>
      <w:proofErr w:type="gramStart"/>
      <w:r w:rsidRPr="00594C5F">
        <w:rPr>
          <w:sz w:val="21"/>
        </w:rPr>
        <w:t>tcn</w:t>
      </w:r>
      <w:proofErr w:type="spellEnd"/>
      <w:r>
        <w:rPr>
          <w:sz w:val="21"/>
        </w:rPr>
        <w:t>)</w:t>
      </w:r>
      <w:r w:rsidRPr="00594C5F">
        <w:rPr>
          <w:sz w:val="21"/>
        </w:rPr>
        <w:t>and</w:t>
      </w:r>
      <w:proofErr w:type="gramEnd"/>
      <w:r w:rsidRPr="00594C5F">
        <w:rPr>
          <w:sz w:val="21"/>
        </w:rPr>
        <w:t xml:space="preserve"> by </w:t>
      </w:r>
      <w:proofErr w:type="spellStart"/>
      <w:r w:rsidRPr="00594C5F">
        <w:rPr>
          <w:sz w:val="21"/>
        </w:rPr>
        <w:t>LightGBM</w:t>
      </w:r>
      <w:proofErr w:type="spellEnd"/>
      <w:r w:rsidRPr="00594C5F">
        <w:rPr>
          <w:sz w:val="21"/>
        </w:rPr>
        <w:t xml:space="preserve"> 4-dimensional probability vector </w:t>
      </w:r>
      <w:proofErr w:type="spellStart"/>
      <w:r w:rsidRPr="00594C5F">
        <w:rPr>
          <w:sz w:val="21"/>
        </w:rPr>
        <w:t>p_lgbm</w:t>
      </w:r>
      <w:proofErr w:type="spellEnd"/>
      <w:r w:rsidRPr="00594C5F">
        <w:rPr>
          <w:sz w:val="21"/>
        </w:rPr>
        <w:t>). Instead of training a regressor on these probabilities (which would severely overfit on the small validation set), we turn each probability into its percentile rank and take a convex combination</w:t>
      </w:r>
      <w:r>
        <w:rPr>
          <w:sz w:val="21"/>
        </w:rPr>
        <w:t>:</w:t>
      </w:r>
    </w:p>
    <w:p w14:paraId="78DEA73C" w14:textId="038AD50A" w:rsidR="00532B9E" w:rsidRDefault="00000000">
      <w:pPr>
        <w:tabs>
          <w:tab w:val="center" w:pos="2520"/>
          <w:tab w:val="right" w:pos="5040"/>
        </w:tabs>
        <w:spacing w:before="80" w:after="80"/>
      </w:pPr>
      <w:r>
        <w:tab/>
      </w:r>
      <w:r>
        <w:rPr>
          <w:rFonts w:ascii="Cambria Math" w:hAnsi="Cambria Math"/>
          <w:i/>
          <w:sz w:val="21"/>
        </w:rPr>
        <w:t>conf = w_tcn × rank(p_tcn) + (1 − w_tcn) × rank(bull_prob_lgbm)</w:t>
      </w:r>
      <w:r>
        <w:rPr>
          <w:sz w:val="21"/>
        </w:rPr>
        <w:tab/>
        <w:t>(5)</w:t>
      </w:r>
    </w:p>
    <w:p w14:paraId="5AA6A064" w14:textId="77777777" w:rsidR="00594C5F" w:rsidRDefault="00594C5F">
      <w:pPr>
        <w:tabs>
          <w:tab w:val="center" w:pos="2520"/>
          <w:tab w:val="right" w:pos="5040"/>
        </w:tabs>
        <w:spacing w:before="80" w:after="80"/>
        <w:rPr>
          <w:sz w:val="21"/>
        </w:rPr>
      </w:pPr>
      <w:r w:rsidRPr="00594C5F">
        <w:rPr>
          <w:sz w:val="21"/>
        </w:rPr>
        <w:t xml:space="preserve">where </w:t>
      </w:r>
      <w:proofErr w:type="spellStart"/>
      <w:r w:rsidRPr="00594C5F">
        <w:rPr>
          <w:sz w:val="21"/>
        </w:rPr>
        <w:t>bull_prob_lgbm</w:t>
      </w:r>
      <w:proofErr w:type="spellEnd"/>
      <w:r w:rsidRPr="00594C5F">
        <w:rPr>
          <w:sz w:val="21"/>
        </w:rPr>
        <w:t xml:space="preserve"> = </w:t>
      </w:r>
      <w:proofErr w:type="spellStart"/>
      <w:r w:rsidRPr="00594C5F">
        <w:rPr>
          <w:sz w:val="21"/>
        </w:rPr>
        <w:t>prob_strong_buy</w:t>
      </w:r>
      <w:proofErr w:type="spellEnd"/>
      <w:r w:rsidRPr="00594C5F">
        <w:rPr>
          <w:sz w:val="21"/>
        </w:rPr>
        <w:t xml:space="preserve"> + </w:t>
      </w:r>
      <w:proofErr w:type="spellStart"/>
      <w:r w:rsidRPr="00594C5F">
        <w:rPr>
          <w:sz w:val="21"/>
        </w:rPr>
        <w:t>prob_buy</w:t>
      </w:r>
      <w:proofErr w:type="spellEnd"/>
      <w:r w:rsidRPr="00594C5F">
        <w:rPr>
          <w:sz w:val="21"/>
        </w:rPr>
        <w:t xml:space="preserve">, and all ranks are normalized to [0, 100]. The weight </w:t>
      </w:r>
      <w:proofErr w:type="spellStart"/>
      <w:r w:rsidRPr="00594C5F">
        <w:rPr>
          <w:sz w:val="21"/>
        </w:rPr>
        <w:t>w_tcn</w:t>
      </w:r>
      <w:proofErr w:type="spellEnd"/>
      <w:r w:rsidRPr="00594C5F">
        <w:rPr>
          <w:sz w:val="21"/>
        </w:rPr>
        <w:t xml:space="preserve"> is determined by a grid search over [0.0, 0.5] with step 0.05, maximizing validation AUC. The optimal decision threshold for classifying conf into BUY/SELL is found via Youden's J statistic:</w:t>
      </w:r>
    </w:p>
    <w:p w14:paraId="16787B26" w14:textId="248342CE" w:rsidR="00532B9E" w:rsidRDefault="00000000">
      <w:pPr>
        <w:tabs>
          <w:tab w:val="center" w:pos="2520"/>
          <w:tab w:val="right" w:pos="5040"/>
        </w:tabs>
        <w:spacing w:before="80" w:after="80"/>
      </w:pPr>
      <w:r>
        <w:tab/>
      </w:r>
      <w:r>
        <w:rPr>
          <w:rFonts w:ascii="Cambria Math" w:hAnsi="Cambria Math"/>
          <w:i/>
          <w:sz w:val="21"/>
        </w:rPr>
        <w:t>J = θ* = argmax_{t} [Sensitivity(t) + Specificity(t) − 1]</w:t>
      </w:r>
      <w:r>
        <w:rPr>
          <w:sz w:val="21"/>
        </w:rPr>
        <w:tab/>
        <w:t>(6)</w:t>
      </w:r>
    </w:p>
    <w:p w14:paraId="43F45EC8" w14:textId="0D754BA4" w:rsidR="00594C5F" w:rsidRDefault="00594C5F">
      <w:pPr>
        <w:spacing w:before="160" w:after="80"/>
        <w:rPr>
          <w:sz w:val="21"/>
        </w:rPr>
      </w:pPr>
      <w:r w:rsidRPr="00594C5F">
        <w:rPr>
          <w:sz w:val="21"/>
        </w:rPr>
        <w:t xml:space="preserve">This approach is the designed to </w:t>
      </w:r>
      <w:proofErr w:type="spellStart"/>
      <w:r w:rsidRPr="00594C5F">
        <w:rPr>
          <w:sz w:val="21"/>
        </w:rPr>
        <w:t>performa</w:t>
      </w:r>
      <w:proofErr w:type="spellEnd"/>
      <w:r w:rsidR="00D47520">
        <w:rPr>
          <w:sz w:val="21"/>
        </w:rPr>
        <w:t xml:space="preserve"> </w:t>
      </w:r>
      <w:r w:rsidRPr="00594C5F">
        <w:rPr>
          <w:sz w:val="21"/>
        </w:rPr>
        <w:t>to that of any linear ridge regression stacker, while requiring zero additional parameters, and hence avoiding secondary overfitting.</w:t>
      </w:r>
    </w:p>
    <w:p w14:paraId="07264B9A" w14:textId="432029E7" w:rsidR="00532B9E" w:rsidRDefault="00000000">
      <w:pPr>
        <w:spacing w:before="160" w:after="80"/>
      </w:pPr>
      <w:r>
        <w:rPr>
          <w:b/>
          <w:i/>
          <w:sz w:val="23"/>
        </w:rPr>
        <w:t xml:space="preserve">I. Realistic Walk-Forward </w:t>
      </w:r>
      <w:proofErr w:type="spellStart"/>
      <w:r>
        <w:rPr>
          <w:b/>
          <w:i/>
          <w:sz w:val="23"/>
        </w:rPr>
        <w:t>Backtesting</w:t>
      </w:r>
      <w:proofErr w:type="spellEnd"/>
    </w:p>
    <w:p w14:paraId="632EFD5A" w14:textId="77777777" w:rsidR="00532B9E" w:rsidRDefault="00000000">
      <w:r>
        <w:rPr>
          <w:sz w:val="21"/>
        </w:rPr>
        <w:t>The original STOCK backtest executed at the same day's Close price as the signal (look-ahead bias). The experimental engine enforces strict realism:</w:t>
      </w:r>
    </w:p>
    <w:p w14:paraId="1CBA5E8F" w14:textId="77777777" w:rsidR="00532B9E" w:rsidRDefault="00000000">
      <w:r>
        <w:t>1. Signal generated using data up to day t (including Close price).</w:t>
      </w:r>
    </w:p>
    <w:p w14:paraId="34CA46E7" w14:textId="77777777" w:rsidR="00532B9E" w:rsidRDefault="00000000">
      <w:r>
        <w:t>2. Trade executed at day t+1 Open price.</w:t>
      </w:r>
    </w:p>
    <w:p w14:paraId="4F0ED32D" w14:textId="77777777" w:rsidR="00532B9E" w:rsidRDefault="00000000">
      <w:r>
        <w:t>3. 10 bps slippage applied per trade (in addition to 10 bps transaction costs).</w:t>
      </w:r>
    </w:p>
    <w:p w14:paraId="06C8353A" w14:textId="77777777" w:rsidR="00532B9E" w:rsidRDefault="00000000">
      <w:r>
        <w:t>4. ATR-based stop loss: stop = execution_price − 1.5 × ATR(14).</w:t>
      </w:r>
    </w:p>
    <w:p w14:paraId="49AE974F" w14:textId="77777777" w:rsidR="00532B9E" w:rsidRDefault="00000000">
      <w:r>
        <w:t>5. If a gap-down open hits the stop directly, trade exits at the open price (gap fill).</w:t>
      </w:r>
    </w:p>
    <w:p w14:paraId="2DD46AFB" w14:textId="77777777" w:rsidR="00D47520" w:rsidRDefault="00D47520" w:rsidP="00D47520">
      <w:pPr>
        <w:spacing w:before="240" w:after="120"/>
        <w:rPr>
          <w:sz w:val="21"/>
        </w:rPr>
      </w:pPr>
      <w:r w:rsidRPr="00D47520">
        <w:rPr>
          <w:sz w:val="21"/>
        </w:rPr>
        <w:t xml:space="preserve">Walk-forward validation uses </w:t>
      </w:r>
      <w:proofErr w:type="spellStart"/>
      <w:r w:rsidRPr="00D47520">
        <w:rPr>
          <w:sz w:val="21"/>
        </w:rPr>
        <w:t>TimeSeriesSplit</w:t>
      </w:r>
      <w:proofErr w:type="spellEnd"/>
      <w:r w:rsidRPr="00D47520">
        <w:rPr>
          <w:sz w:val="21"/>
        </w:rPr>
        <w:t xml:space="preserve"> with </w:t>
      </w:r>
      <w:proofErr w:type="spellStart"/>
      <w:r w:rsidRPr="00D47520">
        <w:rPr>
          <w:sz w:val="21"/>
        </w:rPr>
        <w:t>n_splits</w:t>
      </w:r>
      <w:proofErr w:type="spellEnd"/>
      <w:r w:rsidRPr="00D47520">
        <w:rPr>
          <w:sz w:val="21"/>
        </w:rPr>
        <w:t xml:space="preserve">=3, </w:t>
      </w:r>
      <w:proofErr w:type="spellStart"/>
      <w:r w:rsidRPr="00D47520">
        <w:rPr>
          <w:sz w:val="21"/>
        </w:rPr>
        <w:t>test_size</w:t>
      </w:r>
      <w:proofErr w:type="spellEnd"/>
      <w:r w:rsidRPr="00D47520">
        <w:rPr>
          <w:sz w:val="21"/>
        </w:rPr>
        <w:t>=252 days. Moreover, all of the models are retrained on all the data before any of the test folds in order to avoid any future data leakage in any of the train windows.</w:t>
      </w:r>
    </w:p>
    <w:p w14:paraId="075E4C93" w14:textId="7B95686F" w:rsidR="00532B9E" w:rsidRDefault="00000000">
      <w:pPr>
        <w:spacing w:before="240" w:after="120"/>
        <w:jc w:val="center"/>
      </w:pPr>
      <w:r>
        <w:rPr>
          <w:b/>
          <w:sz w:val="26"/>
        </w:rPr>
        <w:t>V. RESULTS AND DISCUSSION</w:t>
      </w:r>
    </w:p>
    <w:p w14:paraId="47AC50CF" w14:textId="77777777" w:rsidR="00532B9E" w:rsidRDefault="00000000">
      <w:pPr>
        <w:spacing w:before="160" w:after="80"/>
      </w:pPr>
      <w:r>
        <w:rPr>
          <w:b/>
          <w:i/>
          <w:sz w:val="23"/>
        </w:rPr>
        <w:t>A. Component Discriminative Power</w:t>
      </w:r>
    </w:p>
    <w:p w14:paraId="40D31D3D" w14:textId="77777777" w:rsidR="00FB5ED3" w:rsidRDefault="00FB5ED3" w:rsidP="00FB5ED3">
      <w:pPr>
        <w:spacing w:before="120" w:after="40"/>
        <w:rPr>
          <w:sz w:val="21"/>
        </w:rPr>
      </w:pPr>
      <w:r>
        <w:t>Notably, the PatchTST model degenerates to a majority class prediction (F1=0.0) which is reasonable given the limited amount of data for a pure transformer to work with. The major conclusion from this empirical analysis was a surprising gap between the performance of the deep learning vs gradient boosting approaches. Specifically, on the main test asset - RELIANCE.NS (252-day out-of-sample period) the live backtest run demonstrates that:</w:t>
      </w:r>
    </w:p>
    <w:p w14:paraId="2AE05F64" w14:textId="0CC37102" w:rsidR="00532B9E" w:rsidRDefault="00000000">
      <w:pPr>
        <w:spacing w:before="120" w:after="40"/>
        <w:jc w:val="center"/>
      </w:pPr>
      <w:r>
        <w:rPr>
          <w:b/>
          <w:sz w:val="18"/>
        </w:rPr>
        <w:t>TABLE III. Component Performance on RELIANCE.NS Out-of-Sample Test Set (252 days)</w:t>
      </w:r>
    </w:p>
    <w:tbl>
      <w:tblPr>
        <w:tblW w:w="0" w:type="auto"/>
        <w:jc w:val="center"/>
        <w:tblLook w:val="04A0" w:firstRow="1" w:lastRow="0" w:firstColumn="1" w:lastColumn="0" w:noHBand="0" w:noVBand="1"/>
      </w:tblPr>
      <w:tblGrid>
        <w:gridCol w:w="1175"/>
        <w:gridCol w:w="1415"/>
        <w:gridCol w:w="1032"/>
        <w:gridCol w:w="682"/>
        <w:gridCol w:w="758"/>
      </w:tblGrid>
      <w:tr w:rsidR="00532B9E" w14:paraId="2F282AB6" w14:textId="77777777">
        <w:trPr>
          <w:jc w:val="center"/>
        </w:trPr>
        <w:tc>
          <w:tcPr>
            <w:tcW w:w="2088" w:type="dxa"/>
            <w:tcBorders>
              <w:top w:val="single" w:sz="6" w:space="0" w:color="000000"/>
              <w:left w:val="single" w:sz="6" w:space="0" w:color="000000"/>
              <w:bottom w:val="single" w:sz="6" w:space="0" w:color="000000"/>
              <w:right w:val="single" w:sz="6" w:space="0" w:color="000000"/>
            </w:tcBorders>
            <w:shd w:val="clear" w:color="auto" w:fill="D9E2F3"/>
          </w:tcPr>
          <w:p w14:paraId="7CB85591" w14:textId="77777777" w:rsidR="00532B9E" w:rsidRDefault="00000000">
            <w:pPr>
              <w:jc w:val="center"/>
            </w:pPr>
            <w:r>
              <w:rPr>
                <w:b/>
                <w:sz w:val="17"/>
              </w:rPr>
              <w:t>Model Component</w:t>
            </w:r>
          </w:p>
        </w:tc>
        <w:tc>
          <w:tcPr>
            <w:tcW w:w="2088" w:type="dxa"/>
            <w:tcBorders>
              <w:top w:val="single" w:sz="6" w:space="0" w:color="000000"/>
              <w:left w:val="single" w:sz="6" w:space="0" w:color="000000"/>
              <w:bottom w:val="single" w:sz="6" w:space="0" w:color="000000"/>
              <w:right w:val="single" w:sz="6" w:space="0" w:color="000000"/>
            </w:tcBorders>
            <w:shd w:val="clear" w:color="auto" w:fill="D9E2F3"/>
          </w:tcPr>
          <w:p w14:paraId="46B79E80" w14:textId="77777777" w:rsidR="00532B9E" w:rsidRDefault="00000000">
            <w:pPr>
              <w:jc w:val="center"/>
            </w:pPr>
            <w:r>
              <w:rPr>
                <w:b/>
                <w:sz w:val="17"/>
              </w:rPr>
              <w:t>Architecture</w:t>
            </w:r>
          </w:p>
        </w:tc>
        <w:tc>
          <w:tcPr>
            <w:tcW w:w="2088" w:type="dxa"/>
            <w:tcBorders>
              <w:top w:val="single" w:sz="6" w:space="0" w:color="000000"/>
              <w:left w:val="single" w:sz="6" w:space="0" w:color="000000"/>
              <w:bottom w:val="single" w:sz="6" w:space="0" w:color="000000"/>
              <w:right w:val="single" w:sz="6" w:space="0" w:color="000000"/>
            </w:tcBorders>
            <w:shd w:val="clear" w:color="auto" w:fill="D9E2F3"/>
          </w:tcPr>
          <w:p w14:paraId="0D487409" w14:textId="77777777" w:rsidR="00532B9E" w:rsidRDefault="00000000">
            <w:pPr>
              <w:jc w:val="center"/>
            </w:pPr>
            <w:r>
              <w:rPr>
                <w:b/>
                <w:sz w:val="17"/>
              </w:rPr>
              <w:t>Accuracy</w:t>
            </w:r>
          </w:p>
        </w:tc>
        <w:tc>
          <w:tcPr>
            <w:tcW w:w="2088" w:type="dxa"/>
            <w:tcBorders>
              <w:top w:val="single" w:sz="6" w:space="0" w:color="000000"/>
              <w:left w:val="single" w:sz="6" w:space="0" w:color="000000"/>
              <w:bottom w:val="single" w:sz="6" w:space="0" w:color="000000"/>
              <w:right w:val="single" w:sz="6" w:space="0" w:color="000000"/>
            </w:tcBorders>
            <w:shd w:val="clear" w:color="auto" w:fill="D9E2F3"/>
          </w:tcPr>
          <w:p w14:paraId="2F984773" w14:textId="77777777" w:rsidR="00532B9E" w:rsidRDefault="00000000">
            <w:pPr>
              <w:jc w:val="center"/>
            </w:pPr>
            <w:r>
              <w:rPr>
                <w:b/>
                <w:sz w:val="17"/>
              </w:rPr>
              <w:t>F1</w:t>
            </w:r>
          </w:p>
        </w:tc>
        <w:tc>
          <w:tcPr>
            <w:tcW w:w="2088" w:type="dxa"/>
            <w:tcBorders>
              <w:top w:val="single" w:sz="6" w:space="0" w:color="000000"/>
              <w:left w:val="single" w:sz="6" w:space="0" w:color="000000"/>
              <w:bottom w:val="single" w:sz="6" w:space="0" w:color="000000"/>
              <w:right w:val="single" w:sz="6" w:space="0" w:color="000000"/>
            </w:tcBorders>
            <w:shd w:val="clear" w:color="auto" w:fill="D9E2F3"/>
          </w:tcPr>
          <w:p w14:paraId="7FF9D9DF" w14:textId="77777777" w:rsidR="00532B9E" w:rsidRDefault="00000000">
            <w:pPr>
              <w:jc w:val="center"/>
            </w:pPr>
            <w:r>
              <w:rPr>
                <w:b/>
                <w:sz w:val="17"/>
              </w:rPr>
              <w:t>AUC</w:t>
            </w:r>
          </w:p>
        </w:tc>
      </w:tr>
      <w:tr w:rsidR="00532B9E" w14:paraId="1D84122F" w14:textId="77777777">
        <w:trPr>
          <w:jc w:val="center"/>
        </w:trPr>
        <w:tc>
          <w:tcPr>
            <w:tcW w:w="2088" w:type="dxa"/>
            <w:tcBorders>
              <w:top w:val="single" w:sz="4" w:space="0" w:color="000000"/>
              <w:left w:val="single" w:sz="4" w:space="0" w:color="000000"/>
              <w:bottom w:val="single" w:sz="4" w:space="0" w:color="000000"/>
              <w:right w:val="single" w:sz="4" w:space="0" w:color="000000"/>
            </w:tcBorders>
          </w:tcPr>
          <w:p w14:paraId="32FB54C5" w14:textId="77777777" w:rsidR="00532B9E" w:rsidRDefault="00000000">
            <w:pPr>
              <w:jc w:val="center"/>
            </w:pPr>
            <w:r>
              <w:rPr>
                <w:sz w:val="17"/>
              </w:rPr>
              <w:t>Logistic Regression</w:t>
            </w:r>
          </w:p>
        </w:tc>
        <w:tc>
          <w:tcPr>
            <w:tcW w:w="2088" w:type="dxa"/>
            <w:tcBorders>
              <w:top w:val="single" w:sz="4" w:space="0" w:color="000000"/>
              <w:left w:val="single" w:sz="4" w:space="0" w:color="000000"/>
              <w:bottom w:val="single" w:sz="4" w:space="0" w:color="000000"/>
              <w:right w:val="single" w:sz="4" w:space="0" w:color="000000"/>
            </w:tcBorders>
          </w:tcPr>
          <w:p w14:paraId="6EEFDC6F" w14:textId="77777777" w:rsidR="00532B9E" w:rsidRDefault="00000000">
            <w:pPr>
              <w:jc w:val="center"/>
            </w:pPr>
            <w:r>
              <w:rPr>
                <w:sz w:val="17"/>
              </w:rPr>
              <w:t>L2 Regularized, C=1.0</w:t>
            </w:r>
          </w:p>
        </w:tc>
        <w:tc>
          <w:tcPr>
            <w:tcW w:w="2088" w:type="dxa"/>
            <w:tcBorders>
              <w:top w:val="single" w:sz="4" w:space="0" w:color="000000"/>
              <w:left w:val="single" w:sz="4" w:space="0" w:color="000000"/>
              <w:bottom w:val="single" w:sz="4" w:space="0" w:color="000000"/>
              <w:right w:val="single" w:sz="4" w:space="0" w:color="000000"/>
            </w:tcBorders>
          </w:tcPr>
          <w:p w14:paraId="02E88A7C" w14:textId="77777777" w:rsidR="00532B9E" w:rsidRDefault="00000000">
            <w:pPr>
              <w:jc w:val="center"/>
            </w:pPr>
            <w:r>
              <w:rPr>
                <w:sz w:val="17"/>
              </w:rPr>
              <w:t>51.1%</w:t>
            </w:r>
          </w:p>
        </w:tc>
        <w:tc>
          <w:tcPr>
            <w:tcW w:w="2088" w:type="dxa"/>
            <w:tcBorders>
              <w:top w:val="single" w:sz="4" w:space="0" w:color="000000"/>
              <w:left w:val="single" w:sz="4" w:space="0" w:color="000000"/>
              <w:bottom w:val="single" w:sz="4" w:space="0" w:color="000000"/>
              <w:right w:val="single" w:sz="4" w:space="0" w:color="000000"/>
            </w:tcBorders>
          </w:tcPr>
          <w:p w14:paraId="2E1569C6" w14:textId="77777777" w:rsidR="00532B9E" w:rsidRDefault="00000000">
            <w:pPr>
              <w:jc w:val="center"/>
            </w:pPr>
            <w:r>
              <w:rPr>
                <w:sz w:val="17"/>
              </w:rPr>
              <w:t>52.4</w:t>
            </w:r>
          </w:p>
        </w:tc>
        <w:tc>
          <w:tcPr>
            <w:tcW w:w="2088" w:type="dxa"/>
            <w:tcBorders>
              <w:top w:val="single" w:sz="4" w:space="0" w:color="000000"/>
              <w:left w:val="single" w:sz="4" w:space="0" w:color="000000"/>
              <w:bottom w:val="single" w:sz="4" w:space="0" w:color="000000"/>
              <w:right w:val="single" w:sz="4" w:space="0" w:color="000000"/>
            </w:tcBorders>
          </w:tcPr>
          <w:p w14:paraId="0687A9A7" w14:textId="77777777" w:rsidR="00532B9E" w:rsidRDefault="00000000">
            <w:pPr>
              <w:jc w:val="center"/>
            </w:pPr>
            <w:r>
              <w:rPr>
                <w:sz w:val="17"/>
              </w:rPr>
              <w:t>0.521</w:t>
            </w:r>
          </w:p>
        </w:tc>
      </w:tr>
      <w:tr w:rsidR="00532B9E" w14:paraId="5281B207" w14:textId="77777777">
        <w:trPr>
          <w:jc w:val="center"/>
        </w:trPr>
        <w:tc>
          <w:tcPr>
            <w:tcW w:w="2088" w:type="dxa"/>
            <w:tcBorders>
              <w:top w:val="single" w:sz="4" w:space="0" w:color="000000"/>
              <w:left w:val="single" w:sz="4" w:space="0" w:color="000000"/>
              <w:bottom w:val="single" w:sz="4" w:space="0" w:color="000000"/>
              <w:right w:val="single" w:sz="4" w:space="0" w:color="000000"/>
            </w:tcBorders>
          </w:tcPr>
          <w:p w14:paraId="6EBA567C" w14:textId="77777777" w:rsidR="00532B9E" w:rsidRDefault="00000000">
            <w:pPr>
              <w:jc w:val="center"/>
            </w:pPr>
            <w:r>
              <w:rPr>
                <w:sz w:val="17"/>
              </w:rPr>
              <w:t>Random Forest</w:t>
            </w:r>
          </w:p>
        </w:tc>
        <w:tc>
          <w:tcPr>
            <w:tcW w:w="2088" w:type="dxa"/>
            <w:tcBorders>
              <w:top w:val="single" w:sz="4" w:space="0" w:color="000000"/>
              <w:left w:val="single" w:sz="4" w:space="0" w:color="000000"/>
              <w:bottom w:val="single" w:sz="4" w:space="0" w:color="000000"/>
              <w:right w:val="single" w:sz="4" w:space="0" w:color="000000"/>
            </w:tcBorders>
          </w:tcPr>
          <w:p w14:paraId="7D94C2D6" w14:textId="77777777" w:rsidR="00532B9E" w:rsidRDefault="00000000">
            <w:pPr>
              <w:jc w:val="center"/>
            </w:pPr>
            <w:r>
              <w:rPr>
                <w:sz w:val="17"/>
              </w:rPr>
              <w:t>100 estimators, max_depth=10</w:t>
            </w:r>
          </w:p>
        </w:tc>
        <w:tc>
          <w:tcPr>
            <w:tcW w:w="2088" w:type="dxa"/>
            <w:tcBorders>
              <w:top w:val="single" w:sz="4" w:space="0" w:color="000000"/>
              <w:left w:val="single" w:sz="4" w:space="0" w:color="000000"/>
              <w:bottom w:val="single" w:sz="4" w:space="0" w:color="000000"/>
              <w:right w:val="single" w:sz="4" w:space="0" w:color="000000"/>
            </w:tcBorders>
          </w:tcPr>
          <w:p w14:paraId="4F038C3E" w14:textId="77777777" w:rsidR="00532B9E" w:rsidRDefault="00000000">
            <w:pPr>
              <w:jc w:val="center"/>
            </w:pPr>
            <w:r>
              <w:rPr>
                <w:sz w:val="17"/>
              </w:rPr>
              <w:t>53.2%</w:t>
            </w:r>
          </w:p>
        </w:tc>
        <w:tc>
          <w:tcPr>
            <w:tcW w:w="2088" w:type="dxa"/>
            <w:tcBorders>
              <w:top w:val="single" w:sz="4" w:space="0" w:color="000000"/>
              <w:left w:val="single" w:sz="4" w:space="0" w:color="000000"/>
              <w:bottom w:val="single" w:sz="4" w:space="0" w:color="000000"/>
              <w:right w:val="single" w:sz="4" w:space="0" w:color="000000"/>
            </w:tcBorders>
          </w:tcPr>
          <w:p w14:paraId="56281424" w14:textId="77777777" w:rsidR="00532B9E" w:rsidRDefault="00000000">
            <w:pPr>
              <w:jc w:val="center"/>
            </w:pPr>
            <w:r>
              <w:rPr>
                <w:sz w:val="17"/>
              </w:rPr>
              <w:t>53.8</w:t>
            </w:r>
          </w:p>
        </w:tc>
        <w:tc>
          <w:tcPr>
            <w:tcW w:w="2088" w:type="dxa"/>
            <w:tcBorders>
              <w:top w:val="single" w:sz="4" w:space="0" w:color="000000"/>
              <w:left w:val="single" w:sz="4" w:space="0" w:color="000000"/>
              <w:bottom w:val="single" w:sz="4" w:space="0" w:color="000000"/>
              <w:right w:val="single" w:sz="4" w:space="0" w:color="000000"/>
            </w:tcBorders>
          </w:tcPr>
          <w:p w14:paraId="5A999F50" w14:textId="77777777" w:rsidR="00532B9E" w:rsidRDefault="00000000">
            <w:pPr>
              <w:jc w:val="center"/>
            </w:pPr>
            <w:r>
              <w:rPr>
                <w:sz w:val="17"/>
              </w:rPr>
              <w:t>0.585</w:t>
            </w:r>
          </w:p>
        </w:tc>
      </w:tr>
      <w:tr w:rsidR="00532B9E" w14:paraId="60A3718A" w14:textId="77777777">
        <w:trPr>
          <w:jc w:val="center"/>
        </w:trPr>
        <w:tc>
          <w:tcPr>
            <w:tcW w:w="2088" w:type="dxa"/>
            <w:tcBorders>
              <w:top w:val="single" w:sz="4" w:space="0" w:color="000000"/>
              <w:left w:val="single" w:sz="4" w:space="0" w:color="000000"/>
              <w:bottom w:val="single" w:sz="4" w:space="0" w:color="000000"/>
              <w:right w:val="single" w:sz="4" w:space="0" w:color="000000"/>
            </w:tcBorders>
          </w:tcPr>
          <w:p w14:paraId="54979AF2" w14:textId="77777777" w:rsidR="00532B9E" w:rsidRDefault="00000000">
            <w:pPr>
              <w:jc w:val="center"/>
            </w:pPr>
            <w:r>
              <w:rPr>
                <w:sz w:val="17"/>
              </w:rPr>
              <w:t>XGBoost (Untuned)</w:t>
            </w:r>
          </w:p>
        </w:tc>
        <w:tc>
          <w:tcPr>
            <w:tcW w:w="2088" w:type="dxa"/>
            <w:tcBorders>
              <w:top w:val="single" w:sz="4" w:space="0" w:color="000000"/>
              <w:left w:val="single" w:sz="4" w:space="0" w:color="000000"/>
              <w:bottom w:val="single" w:sz="4" w:space="0" w:color="000000"/>
              <w:right w:val="single" w:sz="4" w:space="0" w:color="000000"/>
            </w:tcBorders>
          </w:tcPr>
          <w:p w14:paraId="57201F0A" w14:textId="77777777" w:rsidR="00532B9E" w:rsidRDefault="00000000">
            <w:pPr>
              <w:jc w:val="center"/>
            </w:pPr>
            <w:r>
              <w:rPr>
                <w:sz w:val="17"/>
              </w:rPr>
              <w:t>100 estimators, max_depth=6</w:t>
            </w:r>
          </w:p>
        </w:tc>
        <w:tc>
          <w:tcPr>
            <w:tcW w:w="2088" w:type="dxa"/>
            <w:tcBorders>
              <w:top w:val="single" w:sz="4" w:space="0" w:color="000000"/>
              <w:left w:val="single" w:sz="4" w:space="0" w:color="000000"/>
              <w:bottom w:val="single" w:sz="4" w:space="0" w:color="000000"/>
              <w:right w:val="single" w:sz="4" w:space="0" w:color="000000"/>
            </w:tcBorders>
          </w:tcPr>
          <w:p w14:paraId="06539668" w14:textId="77777777" w:rsidR="00532B9E" w:rsidRDefault="00000000">
            <w:pPr>
              <w:jc w:val="center"/>
            </w:pPr>
            <w:r>
              <w:rPr>
                <w:sz w:val="17"/>
              </w:rPr>
              <w:t>50.0%</w:t>
            </w:r>
          </w:p>
        </w:tc>
        <w:tc>
          <w:tcPr>
            <w:tcW w:w="2088" w:type="dxa"/>
            <w:tcBorders>
              <w:top w:val="single" w:sz="4" w:space="0" w:color="000000"/>
              <w:left w:val="single" w:sz="4" w:space="0" w:color="000000"/>
              <w:bottom w:val="single" w:sz="4" w:space="0" w:color="000000"/>
              <w:right w:val="single" w:sz="4" w:space="0" w:color="000000"/>
            </w:tcBorders>
          </w:tcPr>
          <w:p w14:paraId="4FBDCA1B" w14:textId="77777777" w:rsidR="00532B9E" w:rsidRDefault="00000000">
            <w:pPr>
              <w:jc w:val="center"/>
            </w:pPr>
            <w:r>
              <w:rPr>
                <w:sz w:val="17"/>
              </w:rPr>
              <w:t>58.0</w:t>
            </w:r>
          </w:p>
        </w:tc>
        <w:tc>
          <w:tcPr>
            <w:tcW w:w="2088" w:type="dxa"/>
            <w:tcBorders>
              <w:top w:val="single" w:sz="4" w:space="0" w:color="000000"/>
              <w:left w:val="single" w:sz="4" w:space="0" w:color="000000"/>
              <w:bottom w:val="single" w:sz="4" w:space="0" w:color="000000"/>
              <w:right w:val="single" w:sz="4" w:space="0" w:color="000000"/>
            </w:tcBorders>
          </w:tcPr>
          <w:p w14:paraId="3EFF3BBC" w14:textId="77777777" w:rsidR="00532B9E" w:rsidRDefault="00000000">
            <w:pPr>
              <w:jc w:val="center"/>
            </w:pPr>
            <w:r>
              <w:rPr>
                <w:sz w:val="17"/>
              </w:rPr>
              <w:t>0.467</w:t>
            </w:r>
          </w:p>
        </w:tc>
      </w:tr>
      <w:tr w:rsidR="00532B9E" w14:paraId="198D3174" w14:textId="77777777">
        <w:trPr>
          <w:jc w:val="center"/>
        </w:trPr>
        <w:tc>
          <w:tcPr>
            <w:tcW w:w="2088" w:type="dxa"/>
            <w:tcBorders>
              <w:top w:val="single" w:sz="4" w:space="0" w:color="000000"/>
              <w:left w:val="single" w:sz="4" w:space="0" w:color="000000"/>
              <w:bottom w:val="single" w:sz="4" w:space="0" w:color="000000"/>
              <w:right w:val="single" w:sz="4" w:space="0" w:color="000000"/>
            </w:tcBorders>
          </w:tcPr>
          <w:p w14:paraId="79479797" w14:textId="77777777" w:rsidR="00532B9E" w:rsidRDefault="00000000">
            <w:pPr>
              <w:jc w:val="center"/>
            </w:pPr>
            <w:r>
              <w:rPr>
                <w:sz w:val="17"/>
              </w:rPr>
              <w:t>GRU</w:t>
            </w:r>
          </w:p>
        </w:tc>
        <w:tc>
          <w:tcPr>
            <w:tcW w:w="2088" w:type="dxa"/>
            <w:tcBorders>
              <w:top w:val="single" w:sz="4" w:space="0" w:color="000000"/>
              <w:left w:val="single" w:sz="4" w:space="0" w:color="000000"/>
              <w:bottom w:val="single" w:sz="4" w:space="0" w:color="000000"/>
              <w:right w:val="single" w:sz="4" w:space="0" w:color="000000"/>
            </w:tcBorders>
          </w:tcPr>
          <w:p w14:paraId="4A8F819A" w14:textId="77777777" w:rsidR="00532B9E" w:rsidRDefault="00000000">
            <w:pPr>
              <w:jc w:val="center"/>
            </w:pPr>
            <w:r>
              <w:rPr>
                <w:sz w:val="17"/>
              </w:rPr>
              <w:t>2 layers, 32 units, Dropout 0.3</w:t>
            </w:r>
          </w:p>
        </w:tc>
        <w:tc>
          <w:tcPr>
            <w:tcW w:w="2088" w:type="dxa"/>
            <w:tcBorders>
              <w:top w:val="single" w:sz="4" w:space="0" w:color="000000"/>
              <w:left w:val="single" w:sz="4" w:space="0" w:color="000000"/>
              <w:bottom w:val="single" w:sz="4" w:space="0" w:color="000000"/>
              <w:right w:val="single" w:sz="4" w:space="0" w:color="000000"/>
            </w:tcBorders>
          </w:tcPr>
          <w:p w14:paraId="7E6BD39F" w14:textId="77777777" w:rsidR="00532B9E" w:rsidRDefault="00000000">
            <w:pPr>
              <w:jc w:val="center"/>
            </w:pPr>
            <w:r>
              <w:rPr>
                <w:sz w:val="17"/>
              </w:rPr>
              <w:t>48.6%</w:t>
            </w:r>
          </w:p>
        </w:tc>
        <w:tc>
          <w:tcPr>
            <w:tcW w:w="2088" w:type="dxa"/>
            <w:tcBorders>
              <w:top w:val="single" w:sz="4" w:space="0" w:color="000000"/>
              <w:left w:val="single" w:sz="4" w:space="0" w:color="000000"/>
              <w:bottom w:val="single" w:sz="4" w:space="0" w:color="000000"/>
              <w:right w:val="single" w:sz="4" w:space="0" w:color="000000"/>
            </w:tcBorders>
          </w:tcPr>
          <w:p w14:paraId="09A2836F" w14:textId="77777777" w:rsidR="00532B9E" w:rsidRDefault="00000000">
            <w:pPr>
              <w:jc w:val="center"/>
            </w:pPr>
            <w:r>
              <w:rPr>
                <w:sz w:val="17"/>
              </w:rPr>
              <w:t>64.6</w:t>
            </w:r>
          </w:p>
        </w:tc>
        <w:tc>
          <w:tcPr>
            <w:tcW w:w="2088" w:type="dxa"/>
            <w:tcBorders>
              <w:top w:val="single" w:sz="4" w:space="0" w:color="000000"/>
              <w:left w:val="single" w:sz="4" w:space="0" w:color="000000"/>
              <w:bottom w:val="single" w:sz="4" w:space="0" w:color="000000"/>
              <w:right w:val="single" w:sz="4" w:space="0" w:color="000000"/>
            </w:tcBorders>
          </w:tcPr>
          <w:p w14:paraId="3A98F8CA" w14:textId="77777777" w:rsidR="00532B9E" w:rsidRDefault="00000000">
            <w:pPr>
              <w:jc w:val="center"/>
            </w:pPr>
            <w:r>
              <w:rPr>
                <w:sz w:val="17"/>
              </w:rPr>
              <w:t>0.446</w:t>
            </w:r>
          </w:p>
        </w:tc>
      </w:tr>
      <w:tr w:rsidR="00532B9E" w14:paraId="7EDAF0EA" w14:textId="77777777">
        <w:trPr>
          <w:jc w:val="center"/>
        </w:trPr>
        <w:tc>
          <w:tcPr>
            <w:tcW w:w="2088" w:type="dxa"/>
            <w:tcBorders>
              <w:top w:val="single" w:sz="4" w:space="0" w:color="000000"/>
              <w:left w:val="single" w:sz="4" w:space="0" w:color="000000"/>
              <w:bottom w:val="single" w:sz="4" w:space="0" w:color="000000"/>
              <w:right w:val="single" w:sz="4" w:space="0" w:color="000000"/>
            </w:tcBorders>
          </w:tcPr>
          <w:p w14:paraId="58AF0156" w14:textId="77777777" w:rsidR="00532B9E" w:rsidRDefault="00000000">
            <w:pPr>
              <w:jc w:val="center"/>
            </w:pPr>
            <w:r>
              <w:rPr>
                <w:sz w:val="17"/>
              </w:rPr>
              <w:t>PatchTST</w:t>
            </w:r>
          </w:p>
        </w:tc>
        <w:tc>
          <w:tcPr>
            <w:tcW w:w="2088" w:type="dxa"/>
            <w:tcBorders>
              <w:top w:val="single" w:sz="4" w:space="0" w:color="000000"/>
              <w:left w:val="single" w:sz="4" w:space="0" w:color="000000"/>
              <w:bottom w:val="single" w:sz="4" w:space="0" w:color="000000"/>
              <w:right w:val="single" w:sz="4" w:space="0" w:color="000000"/>
            </w:tcBorders>
          </w:tcPr>
          <w:p w14:paraId="4CD3240C" w14:textId="77777777" w:rsidR="00532B9E" w:rsidRDefault="00000000">
            <w:pPr>
              <w:jc w:val="center"/>
            </w:pPr>
            <w:r>
              <w:rPr>
                <w:sz w:val="17"/>
              </w:rPr>
              <w:t>2 blocks, 4 heads, d_model=32</w:t>
            </w:r>
          </w:p>
        </w:tc>
        <w:tc>
          <w:tcPr>
            <w:tcW w:w="2088" w:type="dxa"/>
            <w:tcBorders>
              <w:top w:val="single" w:sz="4" w:space="0" w:color="000000"/>
              <w:left w:val="single" w:sz="4" w:space="0" w:color="000000"/>
              <w:bottom w:val="single" w:sz="4" w:space="0" w:color="000000"/>
              <w:right w:val="single" w:sz="4" w:space="0" w:color="000000"/>
            </w:tcBorders>
          </w:tcPr>
          <w:p w14:paraId="5B1AB819" w14:textId="77777777" w:rsidR="00532B9E" w:rsidRDefault="00000000">
            <w:pPr>
              <w:jc w:val="center"/>
            </w:pPr>
            <w:r>
              <w:rPr>
                <w:sz w:val="17"/>
              </w:rPr>
              <w:t>49.8%</w:t>
            </w:r>
          </w:p>
        </w:tc>
        <w:tc>
          <w:tcPr>
            <w:tcW w:w="2088" w:type="dxa"/>
            <w:tcBorders>
              <w:top w:val="single" w:sz="4" w:space="0" w:color="000000"/>
              <w:left w:val="single" w:sz="4" w:space="0" w:color="000000"/>
              <w:bottom w:val="single" w:sz="4" w:space="0" w:color="000000"/>
              <w:right w:val="single" w:sz="4" w:space="0" w:color="000000"/>
            </w:tcBorders>
          </w:tcPr>
          <w:p w14:paraId="2B158BD2" w14:textId="77777777" w:rsidR="00532B9E" w:rsidRDefault="00000000">
            <w:pPr>
              <w:jc w:val="center"/>
            </w:pPr>
            <w:r>
              <w:rPr>
                <w:sz w:val="17"/>
              </w:rPr>
              <w:t>0.0</w:t>
            </w:r>
          </w:p>
        </w:tc>
        <w:tc>
          <w:tcPr>
            <w:tcW w:w="2088" w:type="dxa"/>
            <w:tcBorders>
              <w:top w:val="single" w:sz="4" w:space="0" w:color="000000"/>
              <w:left w:val="single" w:sz="4" w:space="0" w:color="000000"/>
              <w:bottom w:val="single" w:sz="4" w:space="0" w:color="000000"/>
              <w:right w:val="single" w:sz="4" w:space="0" w:color="000000"/>
            </w:tcBorders>
          </w:tcPr>
          <w:p w14:paraId="74A1D0FA" w14:textId="77777777" w:rsidR="00532B9E" w:rsidRDefault="00000000">
            <w:pPr>
              <w:jc w:val="center"/>
            </w:pPr>
            <w:r>
              <w:rPr>
                <w:sz w:val="17"/>
              </w:rPr>
              <w:t>0.516</w:t>
            </w:r>
          </w:p>
        </w:tc>
      </w:tr>
      <w:tr w:rsidR="00532B9E" w14:paraId="014DD56C" w14:textId="77777777">
        <w:trPr>
          <w:jc w:val="center"/>
        </w:trPr>
        <w:tc>
          <w:tcPr>
            <w:tcW w:w="2088" w:type="dxa"/>
            <w:tcBorders>
              <w:top w:val="single" w:sz="4" w:space="0" w:color="000000"/>
              <w:left w:val="single" w:sz="4" w:space="0" w:color="000000"/>
              <w:bottom w:val="single" w:sz="4" w:space="0" w:color="000000"/>
              <w:right w:val="single" w:sz="4" w:space="0" w:color="000000"/>
            </w:tcBorders>
          </w:tcPr>
          <w:p w14:paraId="30594901" w14:textId="77777777" w:rsidR="00532B9E" w:rsidRDefault="00000000">
            <w:pPr>
              <w:jc w:val="center"/>
            </w:pPr>
            <w:r>
              <w:rPr>
                <w:sz w:val="17"/>
              </w:rPr>
              <w:t>TCN</w:t>
            </w:r>
          </w:p>
        </w:tc>
        <w:tc>
          <w:tcPr>
            <w:tcW w:w="2088" w:type="dxa"/>
            <w:tcBorders>
              <w:top w:val="single" w:sz="4" w:space="0" w:color="000000"/>
              <w:left w:val="single" w:sz="4" w:space="0" w:color="000000"/>
              <w:bottom w:val="single" w:sz="4" w:space="0" w:color="000000"/>
              <w:right w:val="single" w:sz="4" w:space="0" w:color="000000"/>
            </w:tcBorders>
          </w:tcPr>
          <w:p w14:paraId="6C5278E9" w14:textId="77777777" w:rsidR="00532B9E" w:rsidRDefault="00000000">
            <w:pPr>
              <w:jc w:val="center"/>
            </w:pPr>
            <w:r>
              <w:rPr>
                <w:sz w:val="17"/>
              </w:rPr>
              <w:t>32 filters, dil={1,2,4,8,16}</w:t>
            </w:r>
          </w:p>
        </w:tc>
        <w:tc>
          <w:tcPr>
            <w:tcW w:w="2088" w:type="dxa"/>
            <w:tcBorders>
              <w:top w:val="single" w:sz="4" w:space="0" w:color="000000"/>
              <w:left w:val="single" w:sz="4" w:space="0" w:color="000000"/>
              <w:bottom w:val="single" w:sz="4" w:space="0" w:color="000000"/>
              <w:right w:val="single" w:sz="4" w:space="0" w:color="000000"/>
            </w:tcBorders>
          </w:tcPr>
          <w:p w14:paraId="32F582C6" w14:textId="77777777" w:rsidR="00532B9E" w:rsidRDefault="00000000">
            <w:pPr>
              <w:jc w:val="center"/>
            </w:pPr>
            <w:r>
              <w:rPr>
                <w:sz w:val="17"/>
              </w:rPr>
              <w:t>51.3%</w:t>
            </w:r>
          </w:p>
        </w:tc>
        <w:tc>
          <w:tcPr>
            <w:tcW w:w="2088" w:type="dxa"/>
            <w:tcBorders>
              <w:top w:val="single" w:sz="4" w:space="0" w:color="000000"/>
              <w:left w:val="single" w:sz="4" w:space="0" w:color="000000"/>
              <w:bottom w:val="single" w:sz="4" w:space="0" w:color="000000"/>
              <w:right w:val="single" w:sz="4" w:space="0" w:color="000000"/>
            </w:tcBorders>
          </w:tcPr>
          <w:p w14:paraId="0FA6B0C9" w14:textId="77777777" w:rsidR="00532B9E" w:rsidRDefault="00000000">
            <w:pPr>
              <w:jc w:val="center"/>
            </w:pPr>
            <w:r>
              <w:rPr>
                <w:sz w:val="17"/>
              </w:rPr>
              <w:t>52.2</w:t>
            </w:r>
          </w:p>
        </w:tc>
        <w:tc>
          <w:tcPr>
            <w:tcW w:w="2088" w:type="dxa"/>
            <w:tcBorders>
              <w:top w:val="single" w:sz="4" w:space="0" w:color="000000"/>
              <w:left w:val="single" w:sz="4" w:space="0" w:color="000000"/>
              <w:bottom w:val="single" w:sz="4" w:space="0" w:color="000000"/>
              <w:right w:val="single" w:sz="4" w:space="0" w:color="000000"/>
            </w:tcBorders>
          </w:tcPr>
          <w:p w14:paraId="08D8D41B" w14:textId="77777777" w:rsidR="00532B9E" w:rsidRDefault="00000000">
            <w:pPr>
              <w:jc w:val="center"/>
            </w:pPr>
            <w:r>
              <w:rPr>
                <w:sz w:val="17"/>
              </w:rPr>
              <w:t>0.529</w:t>
            </w:r>
          </w:p>
        </w:tc>
      </w:tr>
      <w:tr w:rsidR="00532B9E" w14:paraId="2FE326E1" w14:textId="77777777">
        <w:trPr>
          <w:jc w:val="center"/>
        </w:trPr>
        <w:tc>
          <w:tcPr>
            <w:tcW w:w="2088" w:type="dxa"/>
            <w:tcBorders>
              <w:top w:val="single" w:sz="4" w:space="0" w:color="000000"/>
              <w:left w:val="single" w:sz="4" w:space="0" w:color="000000"/>
              <w:bottom w:val="single" w:sz="4" w:space="0" w:color="000000"/>
              <w:right w:val="single" w:sz="4" w:space="0" w:color="000000"/>
            </w:tcBorders>
          </w:tcPr>
          <w:p w14:paraId="220139E6" w14:textId="77777777" w:rsidR="00532B9E" w:rsidRDefault="00000000">
            <w:pPr>
              <w:jc w:val="center"/>
            </w:pPr>
            <w:r>
              <w:rPr>
                <w:sz w:val="17"/>
              </w:rPr>
              <w:lastRenderedPageBreak/>
              <w:t>LightGBM</w:t>
            </w:r>
          </w:p>
        </w:tc>
        <w:tc>
          <w:tcPr>
            <w:tcW w:w="2088" w:type="dxa"/>
            <w:tcBorders>
              <w:top w:val="single" w:sz="4" w:space="0" w:color="000000"/>
              <w:left w:val="single" w:sz="4" w:space="0" w:color="000000"/>
              <w:bottom w:val="single" w:sz="4" w:space="0" w:color="000000"/>
              <w:right w:val="single" w:sz="4" w:space="0" w:color="000000"/>
            </w:tcBorders>
          </w:tcPr>
          <w:p w14:paraId="2416DFBC" w14:textId="77777777" w:rsidR="00532B9E" w:rsidRDefault="00000000">
            <w:pPr>
              <w:jc w:val="center"/>
            </w:pPr>
            <w:r>
              <w:rPr>
                <w:sz w:val="17"/>
              </w:rPr>
              <w:t>1 global model, balanced weights</w:t>
            </w:r>
          </w:p>
        </w:tc>
        <w:tc>
          <w:tcPr>
            <w:tcW w:w="2088" w:type="dxa"/>
            <w:tcBorders>
              <w:top w:val="single" w:sz="4" w:space="0" w:color="000000"/>
              <w:left w:val="single" w:sz="4" w:space="0" w:color="000000"/>
              <w:bottom w:val="single" w:sz="4" w:space="0" w:color="000000"/>
              <w:right w:val="single" w:sz="4" w:space="0" w:color="000000"/>
            </w:tcBorders>
          </w:tcPr>
          <w:p w14:paraId="1C91F099" w14:textId="77777777" w:rsidR="00532B9E" w:rsidRDefault="00000000">
            <w:pPr>
              <w:jc w:val="center"/>
            </w:pPr>
            <w:r>
              <w:rPr>
                <w:sz w:val="17"/>
              </w:rPr>
              <w:t>56.8%</w:t>
            </w:r>
          </w:p>
        </w:tc>
        <w:tc>
          <w:tcPr>
            <w:tcW w:w="2088" w:type="dxa"/>
            <w:tcBorders>
              <w:top w:val="single" w:sz="4" w:space="0" w:color="000000"/>
              <w:left w:val="single" w:sz="4" w:space="0" w:color="000000"/>
              <w:bottom w:val="single" w:sz="4" w:space="0" w:color="000000"/>
              <w:right w:val="single" w:sz="4" w:space="0" w:color="000000"/>
            </w:tcBorders>
          </w:tcPr>
          <w:p w14:paraId="25C7EFBE" w14:textId="77777777" w:rsidR="00532B9E" w:rsidRDefault="00000000">
            <w:pPr>
              <w:jc w:val="center"/>
            </w:pPr>
            <w:r>
              <w:rPr>
                <w:sz w:val="17"/>
              </w:rPr>
              <w:t>58.5</w:t>
            </w:r>
          </w:p>
        </w:tc>
        <w:tc>
          <w:tcPr>
            <w:tcW w:w="2088" w:type="dxa"/>
            <w:tcBorders>
              <w:top w:val="single" w:sz="4" w:space="0" w:color="000000"/>
              <w:left w:val="single" w:sz="4" w:space="0" w:color="000000"/>
              <w:bottom w:val="single" w:sz="4" w:space="0" w:color="000000"/>
              <w:right w:val="single" w:sz="4" w:space="0" w:color="000000"/>
            </w:tcBorders>
          </w:tcPr>
          <w:p w14:paraId="0245192B" w14:textId="77777777" w:rsidR="00532B9E" w:rsidRDefault="00000000">
            <w:pPr>
              <w:jc w:val="center"/>
            </w:pPr>
            <w:r>
              <w:rPr>
                <w:sz w:val="17"/>
              </w:rPr>
              <w:t>0.679</w:t>
            </w:r>
          </w:p>
        </w:tc>
      </w:tr>
      <w:tr w:rsidR="00532B9E" w14:paraId="72269B3F" w14:textId="77777777">
        <w:trPr>
          <w:jc w:val="center"/>
        </w:trPr>
        <w:tc>
          <w:tcPr>
            <w:tcW w:w="2088" w:type="dxa"/>
            <w:tcBorders>
              <w:top w:val="single" w:sz="4" w:space="0" w:color="000000"/>
              <w:left w:val="single" w:sz="4" w:space="0" w:color="000000"/>
              <w:bottom w:val="single" w:sz="4" w:space="0" w:color="000000"/>
              <w:right w:val="single" w:sz="4" w:space="0" w:color="000000"/>
            </w:tcBorders>
          </w:tcPr>
          <w:p w14:paraId="385753EE" w14:textId="77777777" w:rsidR="00532B9E" w:rsidRDefault="00000000">
            <w:pPr>
              <w:jc w:val="center"/>
            </w:pPr>
            <w:r>
              <w:rPr>
                <w:sz w:val="17"/>
              </w:rPr>
              <w:t>Rank-Blend Meta-Learner</w:t>
            </w:r>
          </w:p>
        </w:tc>
        <w:tc>
          <w:tcPr>
            <w:tcW w:w="2088" w:type="dxa"/>
            <w:tcBorders>
              <w:top w:val="single" w:sz="4" w:space="0" w:color="000000"/>
              <w:left w:val="single" w:sz="4" w:space="0" w:color="000000"/>
              <w:bottom w:val="single" w:sz="4" w:space="0" w:color="000000"/>
              <w:right w:val="single" w:sz="4" w:space="0" w:color="000000"/>
            </w:tcBorders>
          </w:tcPr>
          <w:p w14:paraId="093B9D8E" w14:textId="77777777" w:rsidR="00532B9E" w:rsidRDefault="00000000">
            <w:pPr>
              <w:jc w:val="center"/>
            </w:pPr>
            <w:r>
              <w:rPr>
                <w:sz w:val="17"/>
              </w:rPr>
              <w:t>w_tcn=0.50 (grid-searched)</w:t>
            </w:r>
          </w:p>
        </w:tc>
        <w:tc>
          <w:tcPr>
            <w:tcW w:w="2088" w:type="dxa"/>
            <w:tcBorders>
              <w:top w:val="single" w:sz="4" w:space="0" w:color="000000"/>
              <w:left w:val="single" w:sz="4" w:space="0" w:color="000000"/>
              <w:bottom w:val="single" w:sz="4" w:space="0" w:color="000000"/>
              <w:right w:val="single" w:sz="4" w:space="0" w:color="000000"/>
            </w:tcBorders>
          </w:tcPr>
          <w:p w14:paraId="4F180256" w14:textId="77777777" w:rsidR="00532B9E" w:rsidRDefault="00000000">
            <w:pPr>
              <w:jc w:val="center"/>
            </w:pPr>
            <w:r>
              <w:rPr>
                <w:sz w:val="17"/>
              </w:rPr>
              <w:t>57.2%</w:t>
            </w:r>
          </w:p>
        </w:tc>
        <w:tc>
          <w:tcPr>
            <w:tcW w:w="2088" w:type="dxa"/>
            <w:tcBorders>
              <w:top w:val="single" w:sz="4" w:space="0" w:color="000000"/>
              <w:left w:val="single" w:sz="4" w:space="0" w:color="000000"/>
              <w:bottom w:val="single" w:sz="4" w:space="0" w:color="000000"/>
              <w:right w:val="single" w:sz="4" w:space="0" w:color="000000"/>
            </w:tcBorders>
          </w:tcPr>
          <w:p w14:paraId="671E8E75" w14:textId="77777777" w:rsidR="00532B9E" w:rsidRDefault="00000000">
            <w:pPr>
              <w:jc w:val="center"/>
            </w:pPr>
            <w:r>
              <w:rPr>
                <w:sz w:val="17"/>
              </w:rPr>
              <w:t>59.1</w:t>
            </w:r>
          </w:p>
        </w:tc>
        <w:tc>
          <w:tcPr>
            <w:tcW w:w="2088" w:type="dxa"/>
            <w:tcBorders>
              <w:top w:val="single" w:sz="4" w:space="0" w:color="000000"/>
              <w:left w:val="single" w:sz="4" w:space="0" w:color="000000"/>
              <w:bottom w:val="single" w:sz="4" w:space="0" w:color="000000"/>
              <w:right w:val="single" w:sz="4" w:space="0" w:color="000000"/>
            </w:tcBorders>
          </w:tcPr>
          <w:p w14:paraId="1A4C09F4" w14:textId="77777777" w:rsidR="00532B9E" w:rsidRDefault="00000000">
            <w:pPr>
              <w:jc w:val="center"/>
            </w:pPr>
            <w:r>
              <w:rPr>
                <w:sz w:val="17"/>
              </w:rPr>
              <w:t>0.679</w:t>
            </w:r>
          </w:p>
        </w:tc>
      </w:tr>
    </w:tbl>
    <w:p w14:paraId="4E1EB646" w14:textId="77777777" w:rsidR="00532B9E" w:rsidRDefault="00532B9E"/>
    <w:p w14:paraId="6407C7DC" w14:textId="77777777" w:rsidR="00D47520" w:rsidRDefault="00D47520">
      <w:pPr>
        <w:spacing w:before="160" w:after="80"/>
        <w:rPr>
          <w:sz w:val="21"/>
        </w:rPr>
      </w:pPr>
      <w:r w:rsidRPr="00D47520">
        <w:rPr>
          <w:sz w:val="21"/>
        </w:rPr>
        <w:t>The changes witnessed after extending the universe of tickers to 50 (about 41700 samples) suggest that the model’s behavior has changed substantially, as compared to the single-ticker scenario. Most importantly, the TCN’s AUC on the holdout increased dramatically to 0.628, thus proving that the deep learning model can actually capture patterns in the data when the threat of data deprivation is eliminated. In turn, the Rank-Blend meta-learner appropriately balanced the weights of the two models (50% each), which allowed to secure the final ensemble Accuracy of 61.5% and F1 of 62.5%.</w:t>
      </w:r>
    </w:p>
    <w:p w14:paraId="35EB2A42" w14:textId="364DDC43" w:rsidR="00532B9E" w:rsidRDefault="00000000">
      <w:pPr>
        <w:spacing w:before="160" w:after="80"/>
      </w:pPr>
      <w:r>
        <w:rPr>
          <w:b/>
          <w:i/>
          <w:sz w:val="23"/>
        </w:rPr>
        <w:t>B. Experimental Setup: Data Scaling and Sensitivity Analysis</w:t>
      </w:r>
    </w:p>
    <w:p w14:paraId="37644A1E" w14:textId="77777777" w:rsidR="00D47520" w:rsidRPr="00D47520" w:rsidRDefault="00D47520" w:rsidP="00FB5ED3">
      <w:pPr>
        <w:spacing w:before="120" w:after="40"/>
        <w:rPr>
          <w:sz w:val="21"/>
        </w:rPr>
      </w:pPr>
      <w:r w:rsidRPr="00D47520">
        <w:rPr>
          <w:sz w:val="21"/>
        </w:rPr>
        <w:t>The transition from the 1,000-sample single-ticker baseline to the 41,700-sample experiment was made by pooling 50 most liquid NIFTY 50 constituents within the same 5-year window. In this way, the cross-sectional diversity of the sample was expanded to test the model’s ability to generalize across tickers and avoid overfitting on idiosyncratic properties of any particular stock.</w:t>
      </w:r>
    </w:p>
    <w:p w14:paraId="2849D98C" w14:textId="77777777" w:rsidR="00D47520" w:rsidRDefault="00D47520" w:rsidP="00FB5ED3">
      <w:pPr>
        <w:spacing w:before="120" w:after="40"/>
        <w:rPr>
          <w:sz w:val="21"/>
        </w:rPr>
      </w:pPr>
      <w:r w:rsidRPr="00D47520">
        <w:rPr>
          <w:sz w:val="21"/>
        </w:rPr>
        <w:t>The next step in testing the model’s generalization ability was to evaluate its performance on gradually increasing number of out-of-sample universes:</w:t>
      </w:r>
    </w:p>
    <w:p w14:paraId="1F32718E" w14:textId="40200AC4" w:rsidR="00532B9E" w:rsidRDefault="00000000" w:rsidP="00D47520">
      <w:pPr>
        <w:spacing w:before="120" w:after="40"/>
        <w:jc w:val="center"/>
      </w:pPr>
      <w:r>
        <w:rPr>
          <w:b/>
          <w:sz w:val="18"/>
        </w:rPr>
        <w:t>TABLE IV. Empirical Robustness Across Expanding Datasets (95% CIs via Block Bootstrap)</w:t>
      </w:r>
    </w:p>
    <w:tbl>
      <w:tblPr>
        <w:tblW w:w="0" w:type="auto"/>
        <w:jc w:val="center"/>
        <w:tblLook w:val="04A0" w:firstRow="1" w:lastRow="0" w:firstColumn="1" w:lastColumn="0" w:noHBand="0" w:noVBand="1"/>
      </w:tblPr>
      <w:tblGrid>
        <w:gridCol w:w="1260"/>
        <w:gridCol w:w="1295"/>
        <w:gridCol w:w="1358"/>
        <w:gridCol w:w="1149"/>
      </w:tblGrid>
      <w:tr w:rsidR="00532B9E" w14:paraId="753DC75A" w14:textId="77777777">
        <w:trPr>
          <w:jc w:val="center"/>
        </w:trPr>
        <w:tc>
          <w:tcPr>
            <w:tcW w:w="2610" w:type="dxa"/>
            <w:tcBorders>
              <w:top w:val="single" w:sz="6" w:space="0" w:color="000000"/>
              <w:left w:val="single" w:sz="6" w:space="0" w:color="000000"/>
              <w:bottom w:val="single" w:sz="6" w:space="0" w:color="000000"/>
              <w:right w:val="single" w:sz="6" w:space="0" w:color="000000"/>
            </w:tcBorders>
            <w:shd w:val="clear" w:color="auto" w:fill="D9E2F3"/>
          </w:tcPr>
          <w:p w14:paraId="6D3B2641" w14:textId="77777777" w:rsidR="00532B9E" w:rsidRDefault="00000000">
            <w:pPr>
              <w:jc w:val="center"/>
            </w:pPr>
            <w:r>
              <w:rPr>
                <w:b/>
                <w:sz w:val="17"/>
              </w:rPr>
              <w:t>Dataset Scale</w:t>
            </w:r>
          </w:p>
        </w:tc>
        <w:tc>
          <w:tcPr>
            <w:tcW w:w="2610" w:type="dxa"/>
            <w:tcBorders>
              <w:top w:val="single" w:sz="6" w:space="0" w:color="000000"/>
              <w:left w:val="single" w:sz="6" w:space="0" w:color="000000"/>
              <w:bottom w:val="single" w:sz="6" w:space="0" w:color="000000"/>
              <w:right w:val="single" w:sz="6" w:space="0" w:color="000000"/>
            </w:tcBorders>
            <w:shd w:val="clear" w:color="auto" w:fill="D9E2F3"/>
          </w:tcPr>
          <w:p w14:paraId="11378B5F" w14:textId="77777777" w:rsidR="00532B9E" w:rsidRDefault="00000000">
            <w:pPr>
              <w:jc w:val="center"/>
            </w:pPr>
            <w:r>
              <w:rPr>
                <w:b/>
                <w:sz w:val="17"/>
              </w:rPr>
              <w:t>Total Samples</w:t>
            </w:r>
          </w:p>
        </w:tc>
        <w:tc>
          <w:tcPr>
            <w:tcW w:w="2610" w:type="dxa"/>
            <w:tcBorders>
              <w:top w:val="single" w:sz="6" w:space="0" w:color="000000"/>
              <w:left w:val="single" w:sz="6" w:space="0" w:color="000000"/>
              <w:bottom w:val="single" w:sz="6" w:space="0" w:color="000000"/>
              <w:right w:val="single" w:sz="6" w:space="0" w:color="000000"/>
            </w:tcBorders>
            <w:shd w:val="clear" w:color="auto" w:fill="D9E2F3"/>
          </w:tcPr>
          <w:p w14:paraId="1AEA6373" w14:textId="77777777" w:rsidR="00532B9E" w:rsidRDefault="00000000">
            <w:pPr>
              <w:jc w:val="center"/>
            </w:pPr>
            <w:r>
              <w:rPr>
                <w:b/>
                <w:sz w:val="17"/>
              </w:rPr>
              <w:t>Accuracy (95% CI)</w:t>
            </w:r>
          </w:p>
        </w:tc>
        <w:tc>
          <w:tcPr>
            <w:tcW w:w="2610" w:type="dxa"/>
            <w:tcBorders>
              <w:top w:val="single" w:sz="6" w:space="0" w:color="000000"/>
              <w:left w:val="single" w:sz="6" w:space="0" w:color="000000"/>
              <w:bottom w:val="single" w:sz="6" w:space="0" w:color="000000"/>
              <w:right w:val="single" w:sz="6" w:space="0" w:color="000000"/>
            </w:tcBorders>
            <w:shd w:val="clear" w:color="auto" w:fill="D9E2F3"/>
          </w:tcPr>
          <w:p w14:paraId="2CF60580" w14:textId="77777777" w:rsidR="00532B9E" w:rsidRDefault="00000000">
            <w:pPr>
              <w:jc w:val="center"/>
            </w:pPr>
            <w:r>
              <w:rPr>
                <w:b/>
                <w:sz w:val="17"/>
              </w:rPr>
              <w:t>F1-Score (%)</w:t>
            </w:r>
          </w:p>
        </w:tc>
      </w:tr>
      <w:tr w:rsidR="00532B9E" w14:paraId="4A15F568" w14:textId="77777777">
        <w:trPr>
          <w:jc w:val="center"/>
        </w:trPr>
        <w:tc>
          <w:tcPr>
            <w:tcW w:w="2610" w:type="dxa"/>
            <w:tcBorders>
              <w:top w:val="single" w:sz="4" w:space="0" w:color="000000"/>
              <w:left w:val="single" w:sz="4" w:space="0" w:color="000000"/>
              <w:bottom w:val="single" w:sz="4" w:space="0" w:color="000000"/>
              <w:right w:val="single" w:sz="4" w:space="0" w:color="000000"/>
            </w:tcBorders>
          </w:tcPr>
          <w:p w14:paraId="5E15CF50" w14:textId="77777777" w:rsidR="00532B9E" w:rsidRDefault="00000000">
            <w:pPr>
              <w:jc w:val="center"/>
            </w:pPr>
            <w:r>
              <w:rPr>
                <w:sz w:val="17"/>
              </w:rPr>
              <w:t>14 Tickers</w:t>
            </w:r>
          </w:p>
        </w:tc>
        <w:tc>
          <w:tcPr>
            <w:tcW w:w="2610" w:type="dxa"/>
            <w:tcBorders>
              <w:top w:val="single" w:sz="4" w:space="0" w:color="000000"/>
              <w:left w:val="single" w:sz="4" w:space="0" w:color="000000"/>
              <w:bottom w:val="single" w:sz="4" w:space="0" w:color="000000"/>
              <w:right w:val="single" w:sz="4" w:space="0" w:color="000000"/>
            </w:tcBorders>
          </w:tcPr>
          <w:p w14:paraId="05BF2794" w14:textId="77777777" w:rsidR="00532B9E" w:rsidRDefault="00000000">
            <w:pPr>
              <w:jc w:val="center"/>
            </w:pPr>
            <w:r>
              <w:rPr>
                <w:sz w:val="17"/>
              </w:rPr>
              <w:t>~14,600</w:t>
            </w:r>
          </w:p>
        </w:tc>
        <w:tc>
          <w:tcPr>
            <w:tcW w:w="2610" w:type="dxa"/>
            <w:tcBorders>
              <w:top w:val="single" w:sz="4" w:space="0" w:color="000000"/>
              <w:left w:val="single" w:sz="4" w:space="0" w:color="000000"/>
              <w:bottom w:val="single" w:sz="4" w:space="0" w:color="000000"/>
              <w:right w:val="single" w:sz="4" w:space="0" w:color="000000"/>
            </w:tcBorders>
          </w:tcPr>
          <w:p w14:paraId="115E0161" w14:textId="77777777" w:rsidR="00532B9E" w:rsidRDefault="00000000">
            <w:pPr>
              <w:jc w:val="center"/>
            </w:pPr>
            <w:r>
              <w:rPr>
                <w:sz w:val="17"/>
              </w:rPr>
              <w:t>60.3% [58.8%, 61.8%]</w:t>
            </w:r>
          </w:p>
        </w:tc>
        <w:tc>
          <w:tcPr>
            <w:tcW w:w="2610" w:type="dxa"/>
            <w:tcBorders>
              <w:top w:val="single" w:sz="4" w:space="0" w:color="000000"/>
              <w:left w:val="single" w:sz="4" w:space="0" w:color="000000"/>
              <w:bottom w:val="single" w:sz="4" w:space="0" w:color="000000"/>
              <w:right w:val="single" w:sz="4" w:space="0" w:color="000000"/>
            </w:tcBorders>
          </w:tcPr>
          <w:p w14:paraId="5E67AAF2" w14:textId="77777777" w:rsidR="00532B9E" w:rsidRDefault="00000000">
            <w:pPr>
              <w:jc w:val="center"/>
            </w:pPr>
            <w:r>
              <w:rPr>
                <w:sz w:val="17"/>
              </w:rPr>
              <w:t>61.5</w:t>
            </w:r>
          </w:p>
        </w:tc>
      </w:tr>
      <w:tr w:rsidR="00532B9E" w14:paraId="558D5EA4" w14:textId="77777777">
        <w:trPr>
          <w:jc w:val="center"/>
        </w:trPr>
        <w:tc>
          <w:tcPr>
            <w:tcW w:w="2610" w:type="dxa"/>
            <w:tcBorders>
              <w:top w:val="single" w:sz="4" w:space="0" w:color="000000"/>
              <w:left w:val="single" w:sz="4" w:space="0" w:color="000000"/>
              <w:bottom w:val="single" w:sz="4" w:space="0" w:color="000000"/>
              <w:right w:val="single" w:sz="4" w:space="0" w:color="000000"/>
            </w:tcBorders>
          </w:tcPr>
          <w:p w14:paraId="47747B69" w14:textId="77777777" w:rsidR="00532B9E" w:rsidRDefault="00000000">
            <w:pPr>
              <w:jc w:val="center"/>
            </w:pPr>
            <w:r>
              <w:rPr>
                <w:sz w:val="17"/>
              </w:rPr>
              <w:t>25 Tickers</w:t>
            </w:r>
          </w:p>
        </w:tc>
        <w:tc>
          <w:tcPr>
            <w:tcW w:w="2610" w:type="dxa"/>
            <w:tcBorders>
              <w:top w:val="single" w:sz="4" w:space="0" w:color="000000"/>
              <w:left w:val="single" w:sz="4" w:space="0" w:color="000000"/>
              <w:bottom w:val="single" w:sz="4" w:space="0" w:color="000000"/>
              <w:right w:val="single" w:sz="4" w:space="0" w:color="000000"/>
            </w:tcBorders>
          </w:tcPr>
          <w:p w14:paraId="5AAF42CF" w14:textId="77777777" w:rsidR="00532B9E" w:rsidRDefault="00000000">
            <w:pPr>
              <w:jc w:val="center"/>
            </w:pPr>
            <w:r>
              <w:rPr>
                <w:sz w:val="17"/>
              </w:rPr>
              <w:t>~21,100</w:t>
            </w:r>
          </w:p>
        </w:tc>
        <w:tc>
          <w:tcPr>
            <w:tcW w:w="2610" w:type="dxa"/>
            <w:tcBorders>
              <w:top w:val="single" w:sz="4" w:space="0" w:color="000000"/>
              <w:left w:val="single" w:sz="4" w:space="0" w:color="000000"/>
              <w:bottom w:val="single" w:sz="4" w:space="0" w:color="000000"/>
              <w:right w:val="single" w:sz="4" w:space="0" w:color="000000"/>
            </w:tcBorders>
          </w:tcPr>
          <w:p w14:paraId="10A2ECF9" w14:textId="77777777" w:rsidR="00532B9E" w:rsidRDefault="00000000">
            <w:pPr>
              <w:jc w:val="center"/>
            </w:pPr>
            <w:r>
              <w:rPr>
                <w:sz w:val="17"/>
              </w:rPr>
              <w:t>59.5% [58.3%, 60.7%]</w:t>
            </w:r>
          </w:p>
        </w:tc>
        <w:tc>
          <w:tcPr>
            <w:tcW w:w="2610" w:type="dxa"/>
            <w:tcBorders>
              <w:top w:val="single" w:sz="4" w:space="0" w:color="000000"/>
              <w:left w:val="single" w:sz="4" w:space="0" w:color="000000"/>
              <w:bottom w:val="single" w:sz="4" w:space="0" w:color="000000"/>
              <w:right w:val="single" w:sz="4" w:space="0" w:color="000000"/>
            </w:tcBorders>
          </w:tcPr>
          <w:p w14:paraId="5569C3E7" w14:textId="77777777" w:rsidR="00532B9E" w:rsidRDefault="00000000">
            <w:pPr>
              <w:jc w:val="center"/>
            </w:pPr>
            <w:r>
              <w:rPr>
                <w:sz w:val="17"/>
              </w:rPr>
              <w:t>65.5</w:t>
            </w:r>
          </w:p>
        </w:tc>
      </w:tr>
      <w:tr w:rsidR="00532B9E" w14:paraId="158FBEC6" w14:textId="77777777">
        <w:trPr>
          <w:jc w:val="center"/>
        </w:trPr>
        <w:tc>
          <w:tcPr>
            <w:tcW w:w="2610" w:type="dxa"/>
            <w:tcBorders>
              <w:top w:val="single" w:sz="4" w:space="0" w:color="000000"/>
              <w:left w:val="single" w:sz="4" w:space="0" w:color="000000"/>
              <w:bottom w:val="single" w:sz="4" w:space="0" w:color="000000"/>
              <w:right w:val="single" w:sz="4" w:space="0" w:color="000000"/>
            </w:tcBorders>
          </w:tcPr>
          <w:p w14:paraId="2B749EBC" w14:textId="77777777" w:rsidR="00532B9E" w:rsidRDefault="00000000">
            <w:pPr>
              <w:jc w:val="center"/>
            </w:pPr>
            <w:r>
              <w:rPr>
                <w:sz w:val="17"/>
              </w:rPr>
              <w:t>50 Tickers (NIFTY 50)</w:t>
            </w:r>
          </w:p>
        </w:tc>
        <w:tc>
          <w:tcPr>
            <w:tcW w:w="2610" w:type="dxa"/>
            <w:tcBorders>
              <w:top w:val="single" w:sz="4" w:space="0" w:color="000000"/>
              <w:left w:val="single" w:sz="4" w:space="0" w:color="000000"/>
              <w:bottom w:val="single" w:sz="4" w:space="0" w:color="000000"/>
              <w:right w:val="single" w:sz="4" w:space="0" w:color="000000"/>
            </w:tcBorders>
          </w:tcPr>
          <w:p w14:paraId="33FA4E04" w14:textId="77777777" w:rsidR="00532B9E" w:rsidRDefault="00000000">
            <w:pPr>
              <w:jc w:val="center"/>
            </w:pPr>
            <w:r>
              <w:rPr>
                <w:sz w:val="17"/>
              </w:rPr>
              <w:t>~41,700</w:t>
            </w:r>
          </w:p>
        </w:tc>
        <w:tc>
          <w:tcPr>
            <w:tcW w:w="2610" w:type="dxa"/>
            <w:tcBorders>
              <w:top w:val="single" w:sz="4" w:space="0" w:color="000000"/>
              <w:left w:val="single" w:sz="4" w:space="0" w:color="000000"/>
              <w:bottom w:val="single" w:sz="4" w:space="0" w:color="000000"/>
              <w:right w:val="single" w:sz="4" w:space="0" w:color="000000"/>
            </w:tcBorders>
          </w:tcPr>
          <w:p w14:paraId="248FC061" w14:textId="77777777" w:rsidR="00532B9E" w:rsidRDefault="00000000">
            <w:pPr>
              <w:jc w:val="center"/>
            </w:pPr>
            <w:r>
              <w:rPr>
                <w:sz w:val="17"/>
              </w:rPr>
              <w:t>61.5% [60.6%, 62.4%]</w:t>
            </w:r>
          </w:p>
        </w:tc>
        <w:tc>
          <w:tcPr>
            <w:tcW w:w="2610" w:type="dxa"/>
            <w:tcBorders>
              <w:top w:val="single" w:sz="4" w:space="0" w:color="000000"/>
              <w:left w:val="single" w:sz="4" w:space="0" w:color="000000"/>
              <w:bottom w:val="single" w:sz="4" w:space="0" w:color="000000"/>
              <w:right w:val="single" w:sz="4" w:space="0" w:color="000000"/>
            </w:tcBorders>
          </w:tcPr>
          <w:p w14:paraId="39D4034F" w14:textId="77777777" w:rsidR="00532B9E" w:rsidRDefault="00000000">
            <w:pPr>
              <w:jc w:val="center"/>
            </w:pPr>
            <w:r>
              <w:rPr>
                <w:sz w:val="17"/>
              </w:rPr>
              <w:t>62.5</w:t>
            </w:r>
          </w:p>
        </w:tc>
      </w:tr>
    </w:tbl>
    <w:p w14:paraId="469679F0" w14:textId="77777777" w:rsidR="00532B9E" w:rsidRDefault="00532B9E"/>
    <w:p w14:paraId="0F6FF21B" w14:textId="77777777" w:rsidR="00FB5ED3" w:rsidRDefault="00FB5ED3" w:rsidP="00FB5ED3">
      <w:pPr>
        <w:spacing w:before="160" w:after="80"/>
        <w:rPr>
          <w:sz w:val="21"/>
        </w:rPr>
      </w:pPr>
      <w:r w:rsidRPr="00FB5ED3">
        <w:rPr>
          <w:sz w:val="21"/>
        </w:rPr>
        <w:t xml:space="preserve">In the domain of machine learning, overfitting is characterized by a reduction in out-of-sample performance, which occurs when exposed to new variance. However, when expanding the universe </w:t>
      </w:r>
      <w:r w:rsidRPr="00FB5ED3">
        <w:rPr>
          <w:sz w:val="21"/>
        </w:rPr>
        <w:t>size 14 to 50 tickers, the out-of-sample accuracy is still well within the [59.5%,61.5%] confidence interval. This indicates that the model is not capturing idiosyncratic cross-sectional noise, but rather some systematic time series structure.</w:t>
      </w:r>
    </w:p>
    <w:p w14:paraId="6F98A588" w14:textId="5E196621" w:rsidR="00FB5ED3" w:rsidRPr="00FB5ED3" w:rsidRDefault="00FB5ED3" w:rsidP="00FB5ED3">
      <w:pPr>
        <w:spacing w:before="160" w:after="80"/>
        <w:rPr>
          <w:sz w:val="21"/>
        </w:rPr>
      </w:pPr>
      <w:r w:rsidRPr="00FB5ED3">
        <w:rPr>
          <w:sz w:val="21"/>
        </w:rPr>
        <w:t>The out-of-sample accuracy was also tested in a variety of sensitivity scenarios.</w:t>
      </w:r>
    </w:p>
    <w:p w14:paraId="4E1344BF" w14:textId="77777777" w:rsidR="00FB5ED3" w:rsidRPr="00FB5ED3" w:rsidRDefault="00FB5ED3" w:rsidP="00FB5ED3">
      <w:pPr>
        <w:spacing w:before="160" w:after="80"/>
        <w:rPr>
          <w:sz w:val="21"/>
        </w:rPr>
      </w:pPr>
      <w:r w:rsidRPr="00FB5ED3">
        <w:rPr>
          <w:sz w:val="21"/>
        </w:rPr>
        <w:t>First, we varied the ATR multiplier from 1.0x to 2.0x: the maximum accuracy is no more than 1.5% different, which is a relatively small decrease, given the wide range of multipliers.</w:t>
      </w:r>
    </w:p>
    <w:p w14:paraId="561296EA" w14:textId="77777777" w:rsidR="00FB5ED3" w:rsidRDefault="00FB5ED3" w:rsidP="00FB5ED3">
      <w:pPr>
        <w:spacing w:before="160" w:after="80"/>
        <w:rPr>
          <w:sz w:val="21"/>
        </w:rPr>
      </w:pPr>
      <w:r w:rsidRPr="00FB5ED3">
        <w:rPr>
          <w:sz w:val="21"/>
        </w:rPr>
        <w:t>Furthermore, when we varied the slippage from 10 to 20 bps, the annualized Sharpe ratio decreased, on average, by 0.12, which suggests that the Rank-Blend advantage is relatively insensitive to the choice of transaction cost model.</w:t>
      </w:r>
    </w:p>
    <w:p w14:paraId="32BC4E31" w14:textId="6484CF53" w:rsidR="00532B9E" w:rsidRDefault="00000000" w:rsidP="00FB5ED3">
      <w:pPr>
        <w:spacing w:before="160" w:after="80"/>
      </w:pPr>
      <w:r>
        <w:rPr>
          <w:b/>
          <w:i/>
          <w:sz w:val="23"/>
        </w:rPr>
        <w:t xml:space="preserve">C. Walk-Forward </w:t>
      </w:r>
      <w:proofErr w:type="spellStart"/>
      <w:r>
        <w:rPr>
          <w:b/>
          <w:i/>
          <w:sz w:val="23"/>
        </w:rPr>
        <w:t>Backtest</w:t>
      </w:r>
      <w:proofErr w:type="spellEnd"/>
      <w:r>
        <w:rPr>
          <w:b/>
          <w:i/>
          <w:sz w:val="23"/>
        </w:rPr>
        <w:t xml:space="preserve"> Performance</w:t>
      </w:r>
    </w:p>
    <w:p w14:paraId="0E70EC3F" w14:textId="77777777" w:rsidR="008D1F79" w:rsidRDefault="008D1F79" w:rsidP="008D1F79">
      <w:pPr>
        <w:spacing w:before="120" w:after="40"/>
        <w:rPr>
          <w:sz w:val="21"/>
        </w:rPr>
      </w:pPr>
      <w:r w:rsidRPr="008D1F79">
        <w:rPr>
          <w:sz w:val="21"/>
        </w:rPr>
        <w:t xml:space="preserve">The table below provides the per-fold walk-forward </w:t>
      </w:r>
      <w:proofErr w:type="spellStart"/>
      <w:r w:rsidRPr="008D1F79">
        <w:rPr>
          <w:sz w:val="21"/>
        </w:rPr>
        <w:t>backtest</w:t>
      </w:r>
      <w:proofErr w:type="spellEnd"/>
      <w:r w:rsidRPr="008D1F79">
        <w:rPr>
          <w:sz w:val="21"/>
        </w:rPr>
        <w:t xml:space="preserve"> results for the three tickers under consideration. The trades are executed at the next-day-open, with 10 bps slippage applied. The reported Sharpe ratios are annualized, using 252 days and 0% risk-free rate:</w:t>
      </w:r>
    </w:p>
    <w:p w14:paraId="7B33E9A6" w14:textId="46A04B2E" w:rsidR="00532B9E" w:rsidRDefault="00000000">
      <w:pPr>
        <w:spacing w:before="120" w:after="40"/>
        <w:jc w:val="center"/>
      </w:pPr>
      <w:r>
        <w:rPr>
          <w:b/>
          <w:sz w:val="18"/>
        </w:rPr>
        <w:t>TABLE V. Walk-Forward Backtest Results (Next-Day-Open Execution, 10 bps Slippage)</w:t>
      </w:r>
    </w:p>
    <w:tbl>
      <w:tblPr>
        <w:tblW w:w="0" w:type="auto"/>
        <w:jc w:val="center"/>
        <w:tblLook w:val="04A0" w:firstRow="1" w:lastRow="0" w:firstColumn="1" w:lastColumn="0" w:noHBand="0" w:noVBand="1"/>
      </w:tblPr>
      <w:tblGrid>
        <w:gridCol w:w="1319"/>
        <w:gridCol w:w="928"/>
        <w:gridCol w:w="755"/>
        <w:gridCol w:w="740"/>
        <w:gridCol w:w="660"/>
        <w:gridCol w:w="660"/>
      </w:tblGrid>
      <w:tr w:rsidR="00532B9E" w14:paraId="093FAF48" w14:textId="77777777">
        <w:trPr>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E2F3"/>
          </w:tcPr>
          <w:p w14:paraId="11979219" w14:textId="77777777" w:rsidR="00532B9E" w:rsidRDefault="00000000">
            <w:pPr>
              <w:jc w:val="center"/>
            </w:pPr>
            <w:r>
              <w:rPr>
                <w:b/>
                <w:sz w:val="17"/>
              </w:rPr>
              <w:t>Ticker</w:t>
            </w:r>
          </w:p>
        </w:tc>
        <w:tc>
          <w:tcPr>
            <w:tcW w:w="1740" w:type="dxa"/>
            <w:tcBorders>
              <w:top w:val="single" w:sz="6" w:space="0" w:color="000000"/>
              <w:left w:val="single" w:sz="6" w:space="0" w:color="000000"/>
              <w:bottom w:val="single" w:sz="6" w:space="0" w:color="000000"/>
              <w:right w:val="single" w:sz="6" w:space="0" w:color="000000"/>
            </w:tcBorders>
            <w:shd w:val="clear" w:color="auto" w:fill="D9E2F3"/>
          </w:tcPr>
          <w:p w14:paraId="7ECC883E" w14:textId="77777777" w:rsidR="00532B9E" w:rsidRDefault="00000000">
            <w:pPr>
              <w:jc w:val="center"/>
            </w:pPr>
            <w:r>
              <w:rPr>
                <w:b/>
                <w:sz w:val="17"/>
              </w:rPr>
              <w:t>Fold</w:t>
            </w:r>
          </w:p>
        </w:tc>
        <w:tc>
          <w:tcPr>
            <w:tcW w:w="1740" w:type="dxa"/>
            <w:tcBorders>
              <w:top w:val="single" w:sz="6" w:space="0" w:color="000000"/>
              <w:left w:val="single" w:sz="6" w:space="0" w:color="000000"/>
              <w:bottom w:val="single" w:sz="6" w:space="0" w:color="000000"/>
              <w:right w:val="single" w:sz="6" w:space="0" w:color="000000"/>
            </w:tcBorders>
            <w:shd w:val="clear" w:color="auto" w:fill="D9E2F3"/>
          </w:tcPr>
          <w:p w14:paraId="0793B773" w14:textId="77777777" w:rsidR="00532B9E" w:rsidRDefault="00000000">
            <w:pPr>
              <w:jc w:val="center"/>
            </w:pPr>
            <w:r>
              <w:rPr>
                <w:b/>
                <w:sz w:val="17"/>
              </w:rPr>
              <w:t>Return</w:t>
            </w:r>
          </w:p>
        </w:tc>
        <w:tc>
          <w:tcPr>
            <w:tcW w:w="1740" w:type="dxa"/>
            <w:tcBorders>
              <w:top w:val="single" w:sz="6" w:space="0" w:color="000000"/>
              <w:left w:val="single" w:sz="6" w:space="0" w:color="000000"/>
              <w:bottom w:val="single" w:sz="6" w:space="0" w:color="000000"/>
              <w:right w:val="single" w:sz="6" w:space="0" w:color="000000"/>
            </w:tcBorders>
            <w:shd w:val="clear" w:color="auto" w:fill="D9E2F3"/>
          </w:tcPr>
          <w:p w14:paraId="48F1733F" w14:textId="77777777" w:rsidR="00532B9E" w:rsidRDefault="00000000">
            <w:pPr>
              <w:jc w:val="center"/>
            </w:pPr>
            <w:r>
              <w:rPr>
                <w:b/>
                <w:sz w:val="17"/>
              </w:rPr>
              <w:t>Sharpe</w:t>
            </w:r>
          </w:p>
        </w:tc>
        <w:tc>
          <w:tcPr>
            <w:tcW w:w="1740" w:type="dxa"/>
            <w:tcBorders>
              <w:top w:val="single" w:sz="6" w:space="0" w:color="000000"/>
              <w:left w:val="single" w:sz="6" w:space="0" w:color="000000"/>
              <w:bottom w:val="single" w:sz="6" w:space="0" w:color="000000"/>
              <w:right w:val="single" w:sz="6" w:space="0" w:color="000000"/>
            </w:tcBorders>
            <w:shd w:val="clear" w:color="auto" w:fill="D9E2F3"/>
          </w:tcPr>
          <w:p w14:paraId="71DF01C3" w14:textId="77777777" w:rsidR="00532B9E" w:rsidRDefault="00000000">
            <w:pPr>
              <w:jc w:val="center"/>
            </w:pPr>
            <w:r>
              <w:rPr>
                <w:b/>
                <w:sz w:val="17"/>
              </w:rPr>
              <w:t>Max DD</w:t>
            </w:r>
          </w:p>
        </w:tc>
        <w:tc>
          <w:tcPr>
            <w:tcW w:w="1740" w:type="dxa"/>
            <w:tcBorders>
              <w:top w:val="single" w:sz="6" w:space="0" w:color="000000"/>
              <w:left w:val="single" w:sz="6" w:space="0" w:color="000000"/>
              <w:bottom w:val="single" w:sz="6" w:space="0" w:color="000000"/>
              <w:right w:val="single" w:sz="6" w:space="0" w:color="000000"/>
            </w:tcBorders>
            <w:shd w:val="clear" w:color="auto" w:fill="D9E2F3"/>
          </w:tcPr>
          <w:p w14:paraId="135399CB" w14:textId="77777777" w:rsidR="00532B9E" w:rsidRDefault="00000000">
            <w:pPr>
              <w:jc w:val="center"/>
            </w:pPr>
            <w:r>
              <w:rPr>
                <w:b/>
                <w:sz w:val="17"/>
              </w:rPr>
              <w:t>Win Rate</w:t>
            </w:r>
          </w:p>
        </w:tc>
      </w:tr>
      <w:tr w:rsidR="00532B9E" w14:paraId="2EDDCF87"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6B3408E9" w14:textId="77777777" w:rsidR="00532B9E" w:rsidRDefault="00000000">
            <w:pPr>
              <w:jc w:val="center"/>
            </w:pPr>
            <w:r>
              <w:rPr>
                <w:sz w:val="17"/>
              </w:rPr>
              <w:t>RELIANCE.NS</w:t>
            </w:r>
          </w:p>
        </w:tc>
        <w:tc>
          <w:tcPr>
            <w:tcW w:w="1740" w:type="dxa"/>
            <w:tcBorders>
              <w:top w:val="single" w:sz="4" w:space="0" w:color="000000"/>
              <w:left w:val="single" w:sz="4" w:space="0" w:color="000000"/>
              <w:bottom w:val="single" w:sz="4" w:space="0" w:color="000000"/>
              <w:right w:val="single" w:sz="4" w:space="0" w:color="000000"/>
            </w:tcBorders>
          </w:tcPr>
          <w:p w14:paraId="4646D5D8" w14:textId="77777777" w:rsidR="00532B9E" w:rsidRDefault="00000000">
            <w:pPr>
              <w:jc w:val="center"/>
            </w:pPr>
            <w:r>
              <w:rPr>
                <w:sz w:val="17"/>
              </w:rPr>
              <w:t>1</w:t>
            </w:r>
          </w:p>
        </w:tc>
        <w:tc>
          <w:tcPr>
            <w:tcW w:w="1740" w:type="dxa"/>
            <w:tcBorders>
              <w:top w:val="single" w:sz="4" w:space="0" w:color="000000"/>
              <w:left w:val="single" w:sz="4" w:space="0" w:color="000000"/>
              <w:bottom w:val="single" w:sz="4" w:space="0" w:color="000000"/>
              <w:right w:val="single" w:sz="4" w:space="0" w:color="000000"/>
            </w:tcBorders>
          </w:tcPr>
          <w:p w14:paraId="26869B68" w14:textId="77777777" w:rsidR="00532B9E" w:rsidRDefault="00000000">
            <w:pPr>
              <w:jc w:val="center"/>
            </w:pPr>
            <w:r>
              <w:rPr>
                <w:sz w:val="17"/>
              </w:rPr>
              <w:t>+2.59%</w:t>
            </w:r>
          </w:p>
        </w:tc>
        <w:tc>
          <w:tcPr>
            <w:tcW w:w="1740" w:type="dxa"/>
            <w:tcBorders>
              <w:top w:val="single" w:sz="4" w:space="0" w:color="000000"/>
              <w:left w:val="single" w:sz="4" w:space="0" w:color="000000"/>
              <w:bottom w:val="single" w:sz="4" w:space="0" w:color="000000"/>
              <w:right w:val="single" w:sz="4" w:space="0" w:color="000000"/>
            </w:tcBorders>
          </w:tcPr>
          <w:p w14:paraId="1504B9C1" w14:textId="77777777" w:rsidR="00532B9E" w:rsidRDefault="00000000">
            <w:pPr>
              <w:jc w:val="center"/>
            </w:pPr>
            <w:r>
              <w:rPr>
                <w:sz w:val="17"/>
              </w:rPr>
              <w:t>1.217</w:t>
            </w:r>
          </w:p>
        </w:tc>
        <w:tc>
          <w:tcPr>
            <w:tcW w:w="1740" w:type="dxa"/>
            <w:tcBorders>
              <w:top w:val="single" w:sz="4" w:space="0" w:color="000000"/>
              <w:left w:val="single" w:sz="4" w:space="0" w:color="000000"/>
              <w:bottom w:val="single" w:sz="4" w:space="0" w:color="000000"/>
              <w:right w:val="single" w:sz="4" w:space="0" w:color="000000"/>
            </w:tcBorders>
          </w:tcPr>
          <w:p w14:paraId="7156D3D6" w14:textId="77777777" w:rsidR="00532B9E" w:rsidRDefault="00000000">
            <w:pPr>
              <w:jc w:val="center"/>
            </w:pPr>
            <w:r>
              <w:rPr>
                <w:sz w:val="17"/>
              </w:rPr>
              <w:t>-1.69%</w:t>
            </w:r>
          </w:p>
        </w:tc>
        <w:tc>
          <w:tcPr>
            <w:tcW w:w="1740" w:type="dxa"/>
            <w:tcBorders>
              <w:top w:val="single" w:sz="4" w:space="0" w:color="000000"/>
              <w:left w:val="single" w:sz="4" w:space="0" w:color="000000"/>
              <w:bottom w:val="single" w:sz="4" w:space="0" w:color="000000"/>
              <w:right w:val="single" w:sz="4" w:space="0" w:color="000000"/>
            </w:tcBorders>
          </w:tcPr>
          <w:p w14:paraId="2B09B7D2" w14:textId="77777777" w:rsidR="00532B9E" w:rsidRDefault="00000000">
            <w:pPr>
              <w:jc w:val="center"/>
            </w:pPr>
            <w:r>
              <w:rPr>
                <w:sz w:val="17"/>
              </w:rPr>
              <w:t>52.2%</w:t>
            </w:r>
          </w:p>
        </w:tc>
      </w:tr>
      <w:tr w:rsidR="00532B9E" w14:paraId="5FE4CDBA"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0E6F3886" w14:textId="77777777" w:rsidR="00532B9E" w:rsidRDefault="00000000">
            <w:pPr>
              <w:jc w:val="center"/>
            </w:pPr>
            <w:r>
              <w:rPr>
                <w:sz w:val="17"/>
              </w:rPr>
              <w:t>RELIANCE.NS</w:t>
            </w:r>
          </w:p>
        </w:tc>
        <w:tc>
          <w:tcPr>
            <w:tcW w:w="1740" w:type="dxa"/>
            <w:tcBorders>
              <w:top w:val="single" w:sz="4" w:space="0" w:color="000000"/>
              <w:left w:val="single" w:sz="4" w:space="0" w:color="000000"/>
              <w:bottom w:val="single" w:sz="4" w:space="0" w:color="000000"/>
              <w:right w:val="single" w:sz="4" w:space="0" w:color="000000"/>
            </w:tcBorders>
          </w:tcPr>
          <w:p w14:paraId="5BD83549" w14:textId="77777777" w:rsidR="00532B9E" w:rsidRDefault="00000000">
            <w:pPr>
              <w:jc w:val="center"/>
            </w:pPr>
            <w:r>
              <w:rPr>
                <w:sz w:val="17"/>
              </w:rPr>
              <w:t>2</w:t>
            </w:r>
          </w:p>
        </w:tc>
        <w:tc>
          <w:tcPr>
            <w:tcW w:w="1740" w:type="dxa"/>
            <w:tcBorders>
              <w:top w:val="single" w:sz="4" w:space="0" w:color="000000"/>
              <w:left w:val="single" w:sz="4" w:space="0" w:color="000000"/>
              <w:bottom w:val="single" w:sz="4" w:space="0" w:color="000000"/>
              <w:right w:val="single" w:sz="4" w:space="0" w:color="000000"/>
            </w:tcBorders>
          </w:tcPr>
          <w:p w14:paraId="10810BBD" w14:textId="77777777" w:rsidR="00532B9E" w:rsidRDefault="00000000">
            <w:pPr>
              <w:jc w:val="center"/>
            </w:pPr>
            <w:r>
              <w:rPr>
                <w:sz w:val="17"/>
              </w:rPr>
              <w:t>-0.17%</w:t>
            </w:r>
          </w:p>
        </w:tc>
        <w:tc>
          <w:tcPr>
            <w:tcW w:w="1740" w:type="dxa"/>
            <w:tcBorders>
              <w:top w:val="single" w:sz="4" w:space="0" w:color="000000"/>
              <w:left w:val="single" w:sz="4" w:space="0" w:color="000000"/>
              <w:bottom w:val="single" w:sz="4" w:space="0" w:color="000000"/>
              <w:right w:val="single" w:sz="4" w:space="0" w:color="000000"/>
            </w:tcBorders>
          </w:tcPr>
          <w:p w14:paraId="41ABF973" w14:textId="77777777" w:rsidR="00532B9E" w:rsidRDefault="00000000">
            <w:pPr>
              <w:jc w:val="center"/>
            </w:pPr>
            <w:r>
              <w:rPr>
                <w:sz w:val="17"/>
              </w:rPr>
              <w:t>-0.062</w:t>
            </w:r>
          </w:p>
        </w:tc>
        <w:tc>
          <w:tcPr>
            <w:tcW w:w="1740" w:type="dxa"/>
            <w:tcBorders>
              <w:top w:val="single" w:sz="4" w:space="0" w:color="000000"/>
              <w:left w:val="single" w:sz="4" w:space="0" w:color="000000"/>
              <w:bottom w:val="single" w:sz="4" w:space="0" w:color="000000"/>
              <w:right w:val="single" w:sz="4" w:space="0" w:color="000000"/>
            </w:tcBorders>
          </w:tcPr>
          <w:p w14:paraId="7D8D758F" w14:textId="77777777" w:rsidR="00532B9E" w:rsidRDefault="00000000">
            <w:pPr>
              <w:jc w:val="center"/>
            </w:pPr>
            <w:r>
              <w:rPr>
                <w:sz w:val="17"/>
              </w:rPr>
              <w:t>-3.22%</w:t>
            </w:r>
          </w:p>
        </w:tc>
        <w:tc>
          <w:tcPr>
            <w:tcW w:w="1740" w:type="dxa"/>
            <w:tcBorders>
              <w:top w:val="single" w:sz="4" w:space="0" w:color="000000"/>
              <w:left w:val="single" w:sz="4" w:space="0" w:color="000000"/>
              <w:bottom w:val="single" w:sz="4" w:space="0" w:color="000000"/>
              <w:right w:val="single" w:sz="4" w:space="0" w:color="000000"/>
            </w:tcBorders>
          </w:tcPr>
          <w:p w14:paraId="36E3E569" w14:textId="77777777" w:rsidR="00532B9E" w:rsidRDefault="00000000">
            <w:pPr>
              <w:jc w:val="center"/>
            </w:pPr>
            <w:r>
              <w:rPr>
                <w:sz w:val="17"/>
              </w:rPr>
              <w:t>44.2%</w:t>
            </w:r>
          </w:p>
        </w:tc>
      </w:tr>
      <w:tr w:rsidR="00532B9E" w14:paraId="7CE5790B"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67B53794" w14:textId="77777777" w:rsidR="00532B9E" w:rsidRDefault="00000000">
            <w:pPr>
              <w:jc w:val="center"/>
            </w:pPr>
            <w:r>
              <w:rPr>
                <w:sz w:val="17"/>
              </w:rPr>
              <w:t>RELIANCE.NS</w:t>
            </w:r>
          </w:p>
        </w:tc>
        <w:tc>
          <w:tcPr>
            <w:tcW w:w="1740" w:type="dxa"/>
            <w:tcBorders>
              <w:top w:val="single" w:sz="4" w:space="0" w:color="000000"/>
              <w:left w:val="single" w:sz="4" w:space="0" w:color="000000"/>
              <w:bottom w:val="single" w:sz="4" w:space="0" w:color="000000"/>
              <w:right w:val="single" w:sz="4" w:space="0" w:color="000000"/>
            </w:tcBorders>
          </w:tcPr>
          <w:p w14:paraId="2E220EE5" w14:textId="77777777" w:rsidR="00532B9E" w:rsidRDefault="00000000">
            <w:pPr>
              <w:jc w:val="center"/>
            </w:pPr>
            <w:r>
              <w:rPr>
                <w:sz w:val="17"/>
              </w:rPr>
              <w:t>3</w:t>
            </w:r>
          </w:p>
        </w:tc>
        <w:tc>
          <w:tcPr>
            <w:tcW w:w="1740" w:type="dxa"/>
            <w:tcBorders>
              <w:top w:val="single" w:sz="4" w:space="0" w:color="000000"/>
              <w:left w:val="single" w:sz="4" w:space="0" w:color="000000"/>
              <w:bottom w:val="single" w:sz="4" w:space="0" w:color="000000"/>
              <w:right w:val="single" w:sz="4" w:space="0" w:color="000000"/>
            </w:tcBorders>
          </w:tcPr>
          <w:p w14:paraId="6BA230C5" w14:textId="77777777" w:rsidR="00532B9E" w:rsidRDefault="00000000">
            <w:pPr>
              <w:jc w:val="center"/>
            </w:pPr>
            <w:r>
              <w:rPr>
                <w:sz w:val="17"/>
              </w:rPr>
              <w:t>-0.96%</w:t>
            </w:r>
          </w:p>
        </w:tc>
        <w:tc>
          <w:tcPr>
            <w:tcW w:w="1740" w:type="dxa"/>
            <w:tcBorders>
              <w:top w:val="single" w:sz="4" w:space="0" w:color="000000"/>
              <w:left w:val="single" w:sz="4" w:space="0" w:color="000000"/>
              <w:bottom w:val="single" w:sz="4" w:space="0" w:color="000000"/>
              <w:right w:val="single" w:sz="4" w:space="0" w:color="000000"/>
            </w:tcBorders>
          </w:tcPr>
          <w:p w14:paraId="4835DDA4" w14:textId="77777777" w:rsidR="00532B9E" w:rsidRDefault="00000000">
            <w:pPr>
              <w:jc w:val="center"/>
            </w:pPr>
            <w:r>
              <w:rPr>
                <w:sz w:val="17"/>
              </w:rPr>
              <w:t>-0.475</w:t>
            </w:r>
          </w:p>
        </w:tc>
        <w:tc>
          <w:tcPr>
            <w:tcW w:w="1740" w:type="dxa"/>
            <w:tcBorders>
              <w:top w:val="single" w:sz="4" w:space="0" w:color="000000"/>
              <w:left w:val="single" w:sz="4" w:space="0" w:color="000000"/>
              <w:bottom w:val="single" w:sz="4" w:space="0" w:color="000000"/>
              <w:right w:val="single" w:sz="4" w:space="0" w:color="000000"/>
            </w:tcBorders>
          </w:tcPr>
          <w:p w14:paraId="5584C1F5" w14:textId="77777777" w:rsidR="00532B9E" w:rsidRDefault="00000000">
            <w:pPr>
              <w:jc w:val="center"/>
            </w:pPr>
            <w:r>
              <w:rPr>
                <w:sz w:val="17"/>
              </w:rPr>
              <w:t>-2.15%</w:t>
            </w:r>
          </w:p>
        </w:tc>
        <w:tc>
          <w:tcPr>
            <w:tcW w:w="1740" w:type="dxa"/>
            <w:tcBorders>
              <w:top w:val="single" w:sz="4" w:space="0" w:color="000000"/>
              <w:left w:val="single" w:sz="4" w:space="0" w:color="000000"/>
              <w:bottom w:val="single" w:sz="4" w:space="0" w:color="000000"/>
              <w:right w:val="single" w:sz="4" w:space="0" w:color="000000"/>
            </w:tcBorders>
          </w:tcPr>
          <w:p w14:paraId="6111A4A0" w14:textId="77777777" w:rsidR="00532B9E" w:rsidRDefault="00000000">
            <w:pPr>
              <w:jc w:val="center"/>
            </w:pPr>
            <w:r>
              <w:rPr>
                <w:sz w:val="17"/>
              </w:rPr>
              <w:t>42.2%</w:t>
            </w:r>
          </w:p>
        </w:tc>
      </w:tr>
      <w:tr w:rsidR="00532B9E" w14:paraId="591975F2"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0A61A2EB" w14:textId="77777777" w:rsidR="00532B9E" w:rsidRDefault="00000000">
            <w:pPr>
              <w:jc w:val="center"/>
            </w:pPr>
            <w:r>
              <w:rPr>
                <w:sz w:val="17"/>
              </w:rPr>
              <w:t>RELIANCE.NS</w:t>
            </w:r>
          </w:p>
        </w:tc>
        <w:tc>
          <w:tcPr>
            <w:tcW w:w="1740" w:type="dxa"/>
            <w:tcBorders>
              <w:top w:val="single" w:sz="4" w:space="0" w:color="000000"/>
              <w:left w:val="single" w:sz="4" w:space="0" w:color="000000"/>
              <w:bottom w:val="single" w:sz="4" w:space="0" w:color="000000"/>
              <w:right w:val="single" w:sz="4" w:space="0" w:color="000000"/>
            </w:tcBorders>
          </w:tcPr>
          <w:p w14:paraId="5EB3D807" w14:textId="77777777" w:rsidR="00532B9E" w:rsidRDefault="00000000">
            <w:pPr>
              <w:jc w:val="center"/>
            </w:pPr>
            <w:r>
              <w:rPr>
                <w:sz w:val="17"/>
              </w:rPr>
              <w:t>Combined</w:t>
            </w:r>
          </w:p>
        </w:tc>
        <w:tc>
          <w:tcPr>
            <w:tcW w:w="1740" w:type="dxa"/>
            <w:tcBorders>
              <w:top w:val="single" w:sz="4" w:space="0" w:color="000000"/>
              <w:left w:val="single" w:sz="4" w:space="0" w:color="000000"/>
              <w:bottom w:val="single" w:sz="4" w:space="0" w:color="000000"/>
              <w:right w:val="single" w:sz="4" w:space="0" w:color="000000"/>
            </w:tcBorders>
          </w:tcPr>
          <w:p w14:paraId="34736966" w14:textId="77777777" w:rsidR="00532B9E" w:rsidRDefault="00000000">
            <w:pPr>
              <w:jc w:val="center"/>
            </w:pPr>
            <w:r>
              <w:rPr>
                <w:sz w:val="17"/>
              </w:rPr>
              <w:t>+1.43%</w:t>
            </w:r>
          </w:p>
        </w:tc>
        <w:tc>
          <w:tcPr>
            <w:tcW w:w="1740" w:type="dxa"/>
            <w:tcBorders>
              <w:top w:val="single" w:sz="4" w:space="0" w:color="000000"/>
              <w:left w:val="single" w:sz="4" w:space="0" w:color="000000"/>
              <w:bottom w:val="single" w:sz="4" w:space="0" w:color="000000"/>
              <w:right w:val="single" w:sz="4" w:space="0" w:color="000000"/>
            </w:tcBorders>
          </w:tcPr>
          <w:p w14:paraId="4A9F3443" w14:textId="77777777" w:rsidR="00532B9E" w:rsidRDefault="00000000">
            <w:pPr>
              <w:jc w:val="center"/>
            </w:pPr>
            <w:r>
              <w:rPr>
                <w:sz w:val="17"/>
              </w:rPr>
              <w:t>0.234</w:t>
            </w:r>
          </w:p>
        </w:tc>
        <w:tc>
          <w:tcPr>
            <w:tcW w:w="1740" w:type="dxa"/>
            <w:tcBorders>
              <w:top w:val="single" w:sz="4" w:space="0" w:color="000000"/>
              <w:left w:val="single" w:sz="4" w:space="0" w:color="000000"/>
              <w:bottom w:val="single" w:sz="4" w:space="0" w:color="000000"/>
              <w:right w:val="single" w:sz="4" w:space="0" w:color="000000"/>
            </w:tcBorders>
          </w:tcPr>
          <w:p w14:paraId="58A4CFBF" w14:textId="77777777" w:rsidR="00532B9E" w:rsidRDefault="00000000">
            <w:pPr>
              <w:jc w:val="center"/>
            </w:pPr>
            <w:r>
              <w:rPr>
                <w:sz w:val="17"/>
              </w:rPr>
              <w:t>-3.22%</w:t>
            </w:r>
          </w:p>
        </w:tc>
        <w:tc>
          <w:tcPr>
            <w:tcW w:w="1740" w:type="dxa"/>
            <w:tcBorders>
              <w:top w:val="single" w:sz="4" w:space="0" w:color="000000"/>
              <w:left w:val="single" w:sz="4" w:space="0" w:color="000000"/>
              <w:bottom w:val="single" w:sz="4" w:space="0" w:color="000000"/>
              <w:right w:val="single" w:sz="4" w:space="0" w:color="000000"/>
            </w:tcBorders>
          </w:tcPr>
          <w:p w14:paraId="45C2B152" w14:textId="77777777" w:rsidR="00532B9E" w:rsidRDefault="00000000">
            <w:pPr>
              <w:jc w:val="center"/>
            </w:pPr>
            <w:r>
              <w:rPr>
                <w:sz w:val="17"/>
              </w:rPr>
              <w:t>46.2%</w:t>
            </w:r>
          </w:p>
        </w:tc>
      </w:tr>
      <w:tr w:rsidR="00532B9E" w14:paraId="6DA3EF05"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40CEB8FA" w14:textId="77777777" w:rsidR="00532B9E" w:rsidRDefault="00000000">
            <w:pPr>
              <w:jc w:val="center"/>
            </w:pPr>
            <w:r>
              <w:rPr>
                <w:sz w:val="17"/>
              </w:rPr>
              <w:t>TCS.NS</w:t>
            </w:r>
          </w:p>
        </w:tc>
        <w:tc>
          <w:tcPr>
            <w:tcW w:w="1740" w:type="dxa"/>
            <w:tcBorders>
              <w:top w:val="single" w:sz="4" w:space="0" w:color="000000"/>
              <w:left w:val="single" w:sz="4" w:space="0" w:color="000000"/>
              <w:bottom w:val="single" w:sz="4" w:space="0" w:color="000000"/>
              <w:right w:val="single" w:sz="4" w:space="0" w:color="000000"/>
            </w:tcBorders>
          </w:tcPr>
          <w:p w14:paraId="559B3685" w14:textId="77777777" w:rsidR="00532B9E" w:rsidRDefault="00000000">
            <w:pPr>
              <w:jc w:val="center"/>
            </w:pPr>
            <w:r>
              <w:rPr>
                <w:sz w:val="17"/>
              </w:rPr>
              <w:t>1</w:t>
            </w:r>
          </w:p>
        </w:tc>
        <w:tc>
          <w:tcPr>
            <w:tcW w:w="1740" w:type="dxa"/>
            <w:tcBorders>
              <w:top w:val="single" w:sz="4" w:space="0" w:color="000000"/>
              <w:left w:val="single" w:sz="4" w:space="0" w:color="000000"/>
              <w:bottom w:val="single" w:sz="4" w:space="0" w:color="000000"/>
              <w:right w:val="single" w:sz="4" w:space="0" w:color="000000"/>
            </w:tcBorders>
          </w:tcPr>
          <w:p w14:paraId="3E877524" w14:textId="77777777" w:rsidR="00532B9E" w:rsidRDefault="00000000">
            <w:pPr>
              <w:jc w:val="center"/>
            </w:pPr>
            <w:r>
              <w:rPr>
                <w:sz w:val="17"/>
              </w:rPr>
              <w:t>+4.43%</w:t>
            </w:r>
          </w:p>
        </w:tc>
        <w:tc>
          <w:tcPr>
            <w:tcW w:w="1740" w:type="dxa"/>
            <w:tcBorders>
              <w:top w:val="single" w:sz="4" w:space="0" w:color="000000"/>
              <w:left w:val="single" w:sz="4" w:space="0" w:color="000000"/>
              <w:bottom w:val="single" w:sz="4" w:space="0" w:color="000000"/>
              <w:right w:val="single" w:sz="4" w:space="0" w:color="000000"/>
            </w:tcBorders>
          </w:tcPr>
          <w:p w14:paraId="6DA5C456" w14:textId="77777777" w:rsidR="00532B9E" w:rsidRDefault="00000000">
            <w:pPr>
              <w:jc w:val="center"/>
            </w:pPr>
            <w:r>
              <w:rPr>
                <w:sz w:val="17"/>
              </w:rPr>
              <w:t>3.171</w:t>
            </w:r>
          </w:p>
        </w:tc>
        <w:tc>
          <w:tcPr>
            <w:tcW w:w="1740" w:type="dxa"/>
            <w:tcBorders>
              <w:top w:val="single" w:sz="4" w:space="0" w:color="000000"/>
              <w:left w:val="single" w:sz="4" w:space="0" w:color="000000"/>
              <w:bottom w:val="single" w:sz="4" w:space="0" w:color="000000"/>
              <w:right w:val="single" w:sz="4" w:space="0" w:color="000000"/>
            </w:tcBorders>
          </w:tcPr>
          <w:p w14:paraId="0B6A046B" w14:textId="77777777" w:rsidR="00532B9E" w:rsidRDefault="00000000">
            <w:pPr>
              <w:jc w:val="center"/>
            </w:pPr>
            <w:r>
              <w:rPr>
                <w:sz w:val="17"/>
              </w:rPr>
              <w:t>-0.29%</w:t>
            </w:r>
          </w:p>
        </w:tc>
        <w:tc>
          <w:tcPr>
            <w:tcW w:w="1740" w:type="dxa"/>
            <w:tcBorders>
              <w:top w:val="single" w:sz="4" w:space="0" w:color="000000"/>
              <w:left w:val="single" w:sz="4" w:space="0" w:color="000000"/>
              <w:bottom w:val="single" w:sz="4" w:space="0" w:color="000000"/>
              <w:right w:val="single" w:sz="4" w:space="0" w:color="000000"/>
            </w:tcBorders>
          </w:tcPr>
          <w:p w14:paraId="7D382302" w14:textId="77777777" w:rsidR="00532B9E" w:rsidRDefault="00000000">
            <w:pPr>
              <w:jc w:val="center"/>
            </w:pPr>
            <w:r>
              <w:rPr>
                <w:sz w:val="17"/>
              </w:rPr>
              <w:t>19.1%</w:t>
            </w:r>
          </w:p>
        </w:tc>
      </w:tr>
      <w:tr w:rsidR="00532B9E" w14:paraId="04EBBF4B"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45159737" w14:textId="77777777" w:rsidR="00532B9E" w:rsidRDefault="00000000">
            <w:pPr>
              <w:jc w:val="center"/>
            </w:pPr>
            <w:r>
              <w:rPr>
                <w:sz w:val="17"/>
              </w:rPr>
              <w:t>TCS.NS</w:t>
            </w:r>
          </w:p>
        </w:tc>
        <w:tc>
          <w:tcPr>
            <w:tcW w:w="1740" w:type="dxa"/>
            <w:tcBorders>
              <w:top w:val="single" w:sz="4" w:space="0" w:color="000000"/>
              <w:left w:val="single" w:sz="4" w:space="0" w:color="000000"/>
              <w:bottom w:val="single" w:sz="4" w:space="0" w:color="000000"/>
              <w:right w:val="single" w:sz="4" w:space="0" w:color="000000"/>
            </w:tcBorders>
          </w:tcPr>
          <w:p w14:paraId="6856F152" w14:textId="77777777" w:rsidR="00532B9E" w:rsidRDefault="00000000">
            <w:pPr>
              <w:jc w:val="center"/>
            </w:pPr>
            <w:r>
              <w:rPr>
                <w:sz w:val="17"/>
              </w:rPr>
              <w:t>2</w:t>
            </w:r>
          </w:p>
        </w:tc>
        <w:tc>
          <w:tcPr>
            <w:tcW w:w="1740" w:type="dxa"/>
            <w:tcBorders>
              <w:top w:val="single" w:sz="4" w:space="0" w:color="000000"/>
              <w:left w:val="single" w:sz="4" w:space="0" w:color="000000"/>
              <w:bottom w:val="single" w:sz="4" w:space="0" w:color="000000"/>
              <w:right w:val="single" w:sz="4" w:space="0" w:color="000000"/>
            </w:tcBorders>
          </w:tcPr>
          <w:p w14:paraId="6A74B68C" w14:textId="77777777" w:rsidR="00532B9E" w:rsidRDefault="00000000">
            <w:pPr>
              <w:jc w:val="center"/>
            </w:pPr>
            <w:r>
              <w:rPr>
                <w:sz w:val="17"/>
              </w:rPr>
              <w:t>+3.38%</w:t>
            </w:r>
          </w:p>
        </w:tc>
        <w:tc>
          <w:tcPr>
            <w:tcW w:w="1740" w:type="dxa"/>
            <w:tcBorders>
              <w:top w:val="single" w:sz="4" w:space="0" w:color="000000"/>
              <w:left w:val="single" w:sz="4" w:space="0" w:color="000000"/>
              <w:bottom w:val="single" w:sz="4" w:space="0" w:color="000000"/>
              <w:right w:val="single" w:sz="4" w:space="0" w:color="000000"/>
            </w:tcBorders>
          </w:tcPr>
          <w:p w14:paraId="1A8BF7F2" w14:textId="77777777" w:rsidR="00532B9E" w:rsidRDefault="00000000">
            <w:pPr>
              <w:jc w:val="center"/>
            </w:pPr>
            <w:r>
              <w:rPr>
                <w:sz w:val="17"/>
              </w:rPr>
              <w:t>2.702</w:t>
            </w:r>
          </w:p>
        </w:tc>
        <w:tc>
          <w:tcPr>
            <w:tcW w:w="1740" w:type="dxa"/>
            <w:tcBorders>
              <w:top w:val="single" w:sz="4" w:space="0" w:color="000000"/>
              <w:left w:val="single" w:sz="4" w:space="0" w:color="000000"/>
              <w:bottom w:val="single" w:sz="4" w:space="0" w:color="000000"/>
              <w:right w:val="single" w:sz="4" w:space="0" w:color="000000"/>
            </w:tcBorders>
          </w:tcPr>
          <w:p w14:paraId="06B3C5A6" w14:textId="77777777" w:rsidR="00532B9E" w:rsidRDefault="00000000">
            <w:pPr>
              <w:jc w:val="center"/>
            </w:pPr>
            <w:r>
              <w:rPr>
                <w:sz w:val="17"/>
              </w:rPr>
              <w:t>-0.30%</w:t>
            </w:r>
          </w:p>
        </w:tc>
        <w:tc>
          <w:tcPr>
            <w:tcW w:w="1740" w:type="dxa"/>
            <w:tcBorders>
              <w:top w:val="single" w:sz="4" w:space="0" w:color="000000"/>
              <w:left w:val="single" w:sz="4" w:space="0" w:color="000000"/>
              <w:bottom w:val="single" w:sz="4" w:space="0" w:color="000000"/>
              <w:right w:val="single" w:sz="4" w:space="0" w:color="000000"/>
            </w:tcBorders>
          </w:tcPr>
          <w:p w14:paraId="39B236C4" w14:textId="77777777" w:rsidR="00532B9E" w:rsidRDefault="00000000">
            <w:pPr>
              <w:jc w:val="center"/>
            </w:pPr>
            <w:r>
              <w:rPr>
                <w:sz w:val="17"/>
              </w:rPr>
              <w:t>16.3%</w:t>
            </w:r>
          </w:p>
        </w:tc>
      </w:tr>
      <w:tr w:rsidR="00532B9E" w14:paraId="620865F6"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63165BAA" w14:textId="77777777" w:rsidR="00532B9E" w:rsidRDefault="00000000">
            <w:pPr>
              <w:jc w:val="center"/>
            </w:pPr>
            <w:r>
              <w:rPr>
                <w:sz w:val="17"/>
              </w:rPr>
              <w:t>TCS.NS</w:t>
            </w:r>
          </w:p>
        </w:tc>
        <w:tc>
          <w:tcPr>
            <w:tcW w:w="1740" w:type="dxa"/>
            <w:tcBorders>
              <w:top w:val="single" w:sz="4" w:space="0" w:color="000000"/>
              <w:left w:val="single" w:sz="4" w:space="0" w:color="000000"/>
              <w:bottom w:val="single" w:sz="4" w:space="0" w:color="000000"/>
              <w:right w:val="single" w:sz="4" w:space="0" w:color="000000"/>
            </w:tcBorders>
          </w:tcPr>
          <w:p w14:paraId="6BC7642B" w14:textId="77777777" w:rsidR="00532B9E" w:rsidRDefault="00000000">
            <w:pPr>
              <w:jc w:val="center"/>
            </w:pPr>
            <w:r>
              <w:rPr>
                <w:sz w:val="17"/>
              </w:rPr>
              <w:t>3</w:t>
            </w:r>
          </w:p>
        </w:tc>
        <w:tc>
          <w:tcPr>
            <w:tcW w:w="1740" w:type="dxa"/>
            <w:tcBorders>
              <w:top w:val="single" w:sz="4" w:space="0" w:color="000000"/>
              <w:left w:val="single" w:sz="4" w:space="0" w:color="000000"/>
              <w:bottom w:val="single" w:sz="4" w:space="0" w:color="000000"/>
              <w:right w:val="single" w:sz="4" w:space="0" w:color="000000"/>
            </w:tcBorders>
          </w:tcPr>
          <w:p w14:paraId="5B5AB689" w14:textId="77777777" w:rsidR="00532B9E" w:rsidRDefault="00000000">
            <w:pPr>
              <w:jc w:val="center"/>
            </w:pPr>
            <w:r>
              <w:rPr>
                <w:sz w:val="17"/>
              </w:rPr>
              <w:t>-1.26%</w:t>
            </w:r>
          </w:p>
        </w:tc>
        <w:tc>
          <w:tcPr>
            <w:tcW w:w="1740" w:type="dxa"/>
            <w:tcBorders>
              <w:top w:val="single" w:sz="4" w:space="0" w:color="000000"/>
              <w:left w:val="single" w:sz="4" w:space="0" w:color="000000"/>
              <w:bottom w:val="single" w:sz="4" w:space="0" w:color="000000"/>
              <w:right w:val="single" w:sz="4" w:space="0" w:color="000000"/>
            </w:tcBorders>
          </w:tcPr>
          <w:p w14:paraId="42199BC8" w14:textId="77777777" w:rsidR="00532B9E" w:rsidRDefault="00000000">
            <w:pPr>
              <w:jc w:val="center"/>
            </w:pPr>
            <w:r>
              <w:rPr>
                <w:sz w:val="17"/>
              </w:rPr>
              <w:t>-0.806</w:t>
            </w:r>
          </w:p>
        </w:tc>
        <w:tc>
          <w:tcPr>
            <w:tcW w:w="1740" w:type="dxa"/>
            <w:tcBorders>
              <w:top w:val="single" w:sz="4" w:space="0" w:color="000000"/>
              <w:left w:val="single" w:sz="4" w:space="0" w:color="000000"/>
              <w:bottom w:val="single" w:sz="4" w:space="0" w:color="000000"/>
              <w:right w:val="single" w:sz="4" w:space="0" w:color="000000"/>
            </w:tcBorders>
          </w:tcPr>
          <w:p w14:paraId="6B7A24B7" w14:textId="77777777" w:rsidR="00532B9E" w:rsidRDefault="00000000">
            <w:pPr>
              <w:jc w:val="center"/>
            </w:pPr>
            <w:r>
              <w:rPr>
                <w:sz w:val="17"/>
              </w:rPr>
              <w:t>-1.81%</w:t>
            </w:r>
          </w:p>
        </w:tc>
        <w:tc>
          <w:tcPr>
            <w:tcW w:w="1740" w:type="dxa"/>
            <w:tcBorders>
              <w:top w:val="single" w:sz="4" w:space="0" w:color="000000"/>
              <w:left w:val="single" w:sz="4" w:space="0" w:color="000000"/>
              <w:bottom w:val="single" w:sz="4" w:space="0" w:color="000000"/>
              <w:right w:val="single" w:sz="4" w:space="0" w:color="000000"/>
            </w:tcBorders>
          </w:tcPr>
          <w:p w14:paraId="47DF713F" w14:textId="77777777" w:rsidR="00532B9E" w:rsidRDefault="00000000">
            <w:pPr>
              <w:jc w:val="center"/>
            </w:pPr>
            <w:r>
              <w:rPr>
                <w:sz w:val="17"/>
              </w:rPr>
              <w:t>10.8%</w:t>
            </w:r>
          </w:p>
        </w:tc>
      </w:tr>
      <w:tr w:rsidR="00532B9E" w14:paraId="5AF4F46C"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773C73AB" w14:textId="77777777" w:rsidR="00532B9E" w:rsidRDefault="00000000">
            <w:pPr>
              <w:jc w:val="center"/>
            </w:pPr>
            <w:r>
              <w:rPr>
                <w:sz w:val="17"/>
              </w:rPr>
              <w:t>TCS.NS</w:t>
            </w:r>
          </w:p>
        </w:tc>
        <w:tc>
          <w:tcPr>
            <w:tcW w:w="1740" w:type="dxa"/>
            <w:tcBorders>
              <w:top w:val="single" w:sz="4" w:space="0" w:color="000000"/>
              <w:left w:val="single" w:sz="4" w:space="0" w:color="000000"/>
              <w:bottom w:val="single" w:sz="4" w:space="0" w:color="000000"/>
              <w:right w:val="single" w:sz="4" w:space="0" w:color="000000"/>
            </w:tcBorders>
          </w:tcPr>
          <w:p w14:paraId="652E5723" w14:textId="77777777" w:rsidR="00532B9E" w:rsidRDefault="00000000">
            <w:pPr>
              <w:jc w:val="center"/>
            </w:pPr>
            <w:r>
              <w:rPr>
                <w:sz w:val="17"/>
              </w:rPr>
              <w:t>Combined</w:t>
            </w:r>
          </w:p>
        </w:tc>
        <w:tc>
          <w:tcPr>
            <w:tcW w:w="1740" w:type="dxa"/>
            <w:tcBorders>
              <w:top w:val="single" w:sz="4" w:space="0" w:color="000000"/>
              <w:left w:val="single" w:sz="4" w:space="0" w:color="000000"/>
              <w:bottom w:val="single" w:sz="4" w:space="0" w:color="000000"/>
              <w:right w:val="single" w:sz="4" w:space="0" w:color="000000"/>
            </w:tcBorders>
          </w:tcPr>
          <w:p w14:paraId="3DD1C8D5" w14:textId="77777777" w:rsidR="00532B9E" w:rsidRDefault="00000000">
            <w:pPr>
              <w:jc w:val="center"/>
            </w:pPr>
            <w:r>
              <w:rPr>
                <w:sz w:val="17"/>
              </w:rPr>
              <w:t>+6.59%</w:t>
            </w:r>
          </w:p>
        </w:tc>
        <w:tc>
          <w:tcPr>
            <w:tcW w:w="1740" w:type="dxa"/>
            <w:tcBorders>
              <w:top w:val="single" w:sz="4" w:space="0" w:color="000000"/>
              <w:left w:val="single" w:sz="4" w:space="0" w:color="000000"/>
              <w:bottom w:val="single" w:sz="4" w:space="0" w:color="000000"/>
              <w:right w:val="single" w:sz="4" w:space="0" w:color="000000"/>
            </w:tcBorders>
          </w:tcPr>
          <w:p w14:paraId="34127B88" w14:textId="77777777" w:rsidR="00532B9E" w:rsidRDefault="00000000">
            <w:pPr>
              <w:jc w:val="center"/>
            </w:pPr>
            <w:r>
              <w:rPr>
                <w:sz w:val="17"/>
              </w:rPr>
              <w:t>1.526</w:t>
            </w:r>
          </w:p>
        </w:tc>
        <w:tc>
          <w:tcPr>
            <w:tcW w:w="1740" w:type="dxa"/>
            <w:tcBorders>
              <w:top w:val="single" w:sz="4" w:space="0" w:color="000000"/>
              <w:left w:val="single" w:sz="4" w:space="0" w:color="000000"/>
              <w:bottom w:val="single" w:sz="4" w:space="0" w:color="000000"/>
              <w:right w:val="single" w:sz="4" w:space="0" w:color="000000"/>
            </w:tcBorders>
          </w:tcPr>
          <w:p w14:paraId="4419D650" w14:textId="77777777" w:rsidR="00532B9E" w:rsidRDefault="00000000">
            <w:pPr>
              <w:jc w:val="center"/>
            </w:pPr>
            <w:r>
              <w:rPr>
                <w:sz w:val="17"/>
              </w:rPr>
              <w:t>-1.81%</w:t>
            </w:r>
          </w:p>
        </w:tc>
        <w:tc>
          <w:tcPr>
            <w:tcW w:w="1740" w:type="dxa"/>
            <w:tcBorders>
              <w:top w:val="single" w:sz="4" w:space="0" w:color="000000"/>
              <w:left w:val="single" w:sz="4" w:space="0" w:color="000000"/>
              <w:bottom w:val="single" w:sz="4" w:space="0" w:color="000000"/>
              <w:right w:val="single" w:sz="4" w:space="0" w:color="000000"/>
            </w:tcBorders>
          </w:tcPr>
          <w:p w14:paraId="2E3FA6F6" w14:textId="77777777" w:rsidR="00532B9E" w:rsidRDefault="00000000">
            <w:pPr>
              <w:jc w:val="center"/>
            </w:pPr>
            <w:r>
              <w:rPr>
                <w:sz w:val="17"/>
              </w:rPr>
              <w:t>15.5%</w:t>
            </w:r>
          </w:p>
        </w:tc>
      </w:tr>
      <w:tr w:rsidR="00532B9E" w14:paraId="277EA903"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0251B0E6" w14:textId="77777777" w:rsidR="00532B9E" w:rsidRDefault="00000000">
            <w:pPr>
              <w:jc w:val="center"/>
            </w:pPr>
            <w:r>
              <w:rPr>
                <w:sz w:val="17"/>
              </w:rPr>
              <w:lastRenderedPageBreak/>
              <w:t>AAPL</w:t>
            </w:r>
          </w:p>
        </w:tc>
        <w:tc>
          <w:tcPr>
            <w:tcW w:w="1740" w:type="dxa"/>
            <w:tcBorders>
              <w:top w:val="single" w:sz="4" w:space="0" w:color="000000"/>
              <w:left w:val="single" w:sz="4" w:space="0" w:color="000000"/>
              <w:bottom w:val="single" w:sz="4" w:space="0" w:color="000000"/>
              <w:right w:val="single" w:sz="4" w:space="0" w:color="000000"/>
            </w:tcBorders>
          </w:tcPr>
          <w:p w14:paraId="12FC1CFB" w14:textId="77777777" w:rsidR="00532B9E" w:rsidRDefault="00000000">
            <w:pPr>
              <w:jc w:val="center"/>
            </w:pPr>
            <w:r>
              <w:rPr>
                <w:sz w:val="17"/>
              </w:rPr>
              <w:t>1</w:t>
            </w:r>
          </w:p>
        </w:tc>
        <w:tc>
          <w:tcPr>
            <w:tcW w:w="1740" w:type="dxa"/>
            <w:tcBorders>
              <w:top w:val="single" w:sz="4" w:space="0" w:color="000000"/>
              <w:left w:val="single" w:sz="4" w:space="0" w:color="000000"/>
              <w:bottom w:val="single" w:sz="4" w:space="0" w:color="000000"/>
              <w:right w:val="single" w:sz="4" w:space="0" w:color="000000"/>
            </w:tcBorders>
          </w:tcPr>
          <w:p w14:paraId="6CF09037" w14:textId="77777777" w:rsidR="00532B9E" w:rsidRDefault="00000000">
            <w:pPr>
              <w:jc w:val="center"/>
            </w:pPr>
            <w:r>
              <w:rPr>
                <w:sz w:val="17"/>
              </w:rPr>
              <w:t>+4.26%</w:t>
            </w:r>
          </w:p>
        </w:tc>
        <w:tc>
          <w:tcPr>
            <w:tcW w:w="1740" w:type="dxa"/>
            <w:tcBorders>
              <w:top w:val="single" w:sz="4" w:space="0" w:color="000000"/>
              <w:left w:val="single" w:sz="4" w:space="0" w:color="000000"/>
              <w:bottom w:val="single" w:sz="4" w:space="0" w:color="000000"/>
              <w:right w:val="single" w:sz="4" w:space="0" w:color="000000"/>
            </w:tcBorders>
          </w:tcPr>
          <w:p w14:paraId="63D98650" w14:textId="77777777" w:rsidR="00532B9E" w:rsidRDefault="00000000">
            <w:pPr>
              <w:jc w:val="center"/>
            </w:pPr>
            <w:r>
              <w:rPr>
                <w:sz w:val="17"/>
              </w:rPr>
              <w:t>2.537</w:t>
            </w:r>
          </w:p>
        </w:tc>
        <w:tc>
          <w:tcPr>
            <w:tcW w:w="1740" w:type="dxa"/>
            <w:tcBorders>
              <w:top w:val="single" w:sz="4" w:space="0" w:color="000000"/>
              <w:left w:val="single" w:sz="4" w:space="0" w:color="000000"/>
              <w:bottom w:val="single" w:sz="4" w:space="0" w:color="000000"/>
              <w:right w:val="single" w:sz="4" w:space="0" w:color="000000"/>
            </w:tcBorders>
          </w:tcPr>
          <w:p w14:paraId="2B02A07A" w14:textId="77777777" w:rsidR="00532B9E" w:rsidRDefault="00000000">
            <w:pPr>
              <w:jc w:val="center"/>
            </w:pPr>
            <w:r>
              <w:rPr>
                <w:sz w:val="17"/>
              </w:rPr>
              <w:t>-0.92%</w:t>
            </w:r>
          </w:p>
        </w:tc>
        <w:tc>
          <w:tcPr>
            <w:tcW w:w="1740" w:type="dxa"/>
            <w:tcBorders>
              <w:top w:val="single" w:sz="4" w:space="0" w:color="000000"/>
              <w:left w:val="single" w:sz="4" w:space="0" w:color="000000"/>
              <w:bottom w:val="single" w:sz="4" w:space="0" w:color="000000"/>
              <w:right w:val="single" w:sz="4" w:space="0" w:color="000000"/>
            </w:tcBorders>
          </w:tcPr>
          <w:p w14:paraId="1ED33400" w14:textId="77777777" w:rsidR="00532B9E" w:rsidRDefault="00000000">
            <w:pPr>
              <w:jc w:val="center"/>
            </w:pPr>
            <w:r>
              <w:rPr>
                <w:sz w:val="17"/>
              </w:rPr>
              <w:t>25.9%</w:t>
            </w:r>
          </w:p>
        </w:tc>
      </w:tr>
      <w:tr w:rsidR="00532B9E" w14:paraId="2A9F3E93"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412696BB" w14:textId="77777777" w:rsidR="00532B9E" w:rsidRDefault="00000000">
            <w:pPr>
              <w:jc w:val="center"/>
            </w:pPr>
            <w:r>
              <w:rPr>
                <w:sz w:val="17"/>
              </w:rPr>
              <w:t>AAPL</w:t>
            </w:r>
          </w:p>
        </w:tc>
        <w:tc>
          <w:tcPr>
            <w:tcW w:w="1740" w:type="dxa"/>
            <w:tcBorders>
              <w:top w:val="single" w:sz="4" w:space="0" w:color="000000"/>
              <w:left w:val="single" w:sz="4" w:space="0" w:color="000000"/>
              <w:bottom w:val="single" w:sz="4" w:space="0" w:color="000000"/>
              <w:right w:val="single" w:sz="4" w:space="0" w:color="000000"/>
            </w:tcBorders>
          </w:tcPr>
          <w:p w14:paraId="00715815" w14:textId="77777777" w:rsidR="00532B9E" w:rsidRDefault="00000000">
            <w:pPr>
              <w:jc w:val="center"/>
            </w:pPr>
            <w:r>
              <w:rPr>
                <w:sz w:val="17"/>
              </w:rPr>
              <w:t>2</w:t>
            </w:r>
          </w:p>
        </w:tc>
        <w:tc>
          <w:tcPr>
            <w:tcW w:w="1740" w:type="dxa"/>
            <w:tcBorders>
              <w:top w:val="single" w:sz="4" w:space="0" w:color="000000"/>
              <w:left w:val="single" w:sz="4" w:space="0" w:color="000000"/>
              <w:bottom w:val="single" w:sz="4" w:space="0" w:color="000000"/>
              <w:right w:val="single" w:sz="4" w:space="0" w:color="000000"/>
            </w:tcBorders>
          </w:tcPr>
          <w:p w14:paraId="174CD06F" w14:textId="77777777" w:rsidR="00532B9E" w:rsidRDefault="00000000">
            <w:pPr>
              <w:jc w:val="center"/>
            </w:pPr>
            <w:r>
              <w:rPr>
                <w:sz w:val="17"/>
              </w:rPr>
              <w:t>+4.54%</w:t>
            </w:r>
          </w:p>
        </w:tc>
        <w:tc>
          <w:tcPr>
            <w:tcW w:w="1740" w:type="dxa"/>
            <w:tcBorders>
              <w:top w:val="single" w:sz="4" w:space="0" w:color="000000"/>
              <w:left w:val="single" w:sz="4" w:space="0" w:color="000000"/>
              <w:bottom w:val="single" w:sz="4" w:space="0" w:color="000000"/>
              <w:right w:val="single" w:sz="4" w:space="0" w:color="000000"/>
            </w:tcBorders>
          </w:tcPr>
          <w:p w14:paraId="78E4EBA4" w14:textId="77777777" w:rsidR="00532B9E" w:rsidRDefault="00000000">
            <w:pPr>
              <w:jc w:val="center"/>
            </w:pPr>
            <w:r>
              <w:rPr>
                <w:sz w:val="17"/>
              </w:rPr>
              <w:t>2.970</w:t>
            </w:r>
          </w:p>
        </w:tc>
        <w:tc>
          <w:tcPr>
            <w:tcW w:w="1740" w:type="dxa"/>
            <w:tcBorders>
              <w:top w:val="single" w:sz="4" w:space="0" w:color="000000"/>
              <w:left w:val="single" w:sz="4" w:space="0" w:color="000000"/>
              <w:bottom w:val="single" w:sz="4" w:space="0" w:color="000000"/>
              <w:right w:val="single" w:sz="4" w:space="0" w:color="000000"/>
            </w:tcBorders>
          </w:tcPr>
          <w:p w14:paraId="0130FC90" w14:textId="77777777" w:rsidR="00532B9E" w:rsidRDefault="00000000">
            <w:pPr>
              <w:jc w:val="center"/>
            </w:pPr>
            <w:r>
              <w:rPr>
                <w:sz w:val="17"/>
              </w:rPr>
              <w:t>-0.47%</w:t>
            </w:r>
          </w:p>
        </w:tc>
        <w:tc>
          <w:tcPr>
            <w:tcW w:w="1740" w:type="dxa"/>
            <w:tcBorders>
              <w:top w:val="single" w:sz="4" w:space="0" w:color="000000"/>
              <w:left w:val="single" w:sz="4" w:space="0" w:color="000000"/>
              <w:bottom w:val="single" w:sz="4" w:space="0" w:color="000000"/>
              <w:right w:val="single" w:sz="4" w:space="0" w:color="000000"/>
            </w:tcBorders>
          </w:tcPr>
          <w:p w14:paraId="4F55D37D" w14:textId="77777777" w:rsidR="00532B9E" w:rsidRDefault="00000000">
            <w:pPr>
              <w:jc w:val="center"/>
            </w:pPr>
            <w:r>
              <w:rPr>
                <w:sz w:val="17"/>
              </w:rPr>
              <w:t>21.5%</w:t>
            </w:r>
          </w:p>
        </w:tc>
      </w:tr>
      <w:tr w:rsidR="00532B9E" w14:paraId="02EA66A6"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3A305C61" w14:textId="77777777" w:rsidR="00532B9E" w:rsidRDefault="00000000">
            <w:pPr>
              <w:jc w:val="center"/>
            </w:pPr>
            <w:r>
              <w:rPr>
                <w:sz w:val="17"/>
              </w:rPr>
              <w:t>AAPL</w:t>
            </w:r>
          </w:p>
        </w:tc>
        <w:tc>
          <w:tcPr>
            <w:tcW w:w="1740" w:type="dxa"/>
            <w:tcBorders>
              <w:top w:val="single" w:sz="4" w:space="0" w:color="000000"/>
              <w:left w:val="single" w:sz="4" w:space="0" w:color="000000"/>
              <w:bottom w:val="single" w:sz="4" w:space="0" w:color="000000"/>
              <w:right w:val="single" w:sz="4" w:space="0" w:color="000000"/>
            </w:tcBorders>
          </w:tcPr>
          <w:p w14:paraId="6C54B9F2" w14:textId="77777777" w:rsidR="00532B9E" w:rsidRDefault="00000000">
            <w:pPr>
              <w:jc w:val="center"/>
            </w:pPr>
            <w:r>
              <w:rPr>
                <w:sz w:val="17"/>
              </w:rPr>
              <w:t>3</w:t>
            </w:r>
          </w:p>
        </w:tc>
        <w:tc>
          <w:tcPr>
            <w:tcW w:w="1740" w:type="dxa"/>
            <w:tcBorders>
              <w:top w:val="single" w:sz="4" w:space="0" w:color="000000"/>
              <w:left w:val="single" w:sz="4" w:space="0" w:color="000000"/>
              <w:bottom w:val="single" w:sz="4" w:space="0" w:color="000000"/>
              <w:right w:val="single" w:sz="4" w:space="0" w:color="000000"/>
            </w:tcBorders>
          </w:tcPr>
          <w:p w14:paraId="096E6869" w14:textId="77777777" w:rsidR="00532B9E" w:rsidRDefault="00000000">
            <w:pPr>
              <w:jc w:val="center"/>
            </w:pPr>
            <w:r>
              <w:rPr>
                <w:sz w:val="17"/>
              </w:rPr>
              <w:t>+0.55%</w:t>
            </w:r>
          </w:p>
        </w:tc>
        <w:tc>
          <w:tcPr>
            <w:tcW w:w="1740" w:type="dxa"/>
            <w:tcBorders>
              <w:top w:val="single" w:sz="4" w:space="0" w:color="000000"/>
              <w:left w:val="single" w:sz="4" w:space="0" w:color="000000"/>
              <w:bottom w:val="single" w:sz="4" w:space="0" w:color="000000"/>
              <w:right w:val="single" w:sz="4" w:space="0" w:color="000000"/>
            </w:tcBorders>
          </w:tcPr>
          <w:p w14:paraId="6BA84268" w14:textId="77777777" w:rsidR="00532B9E" w:rsidRDefault="00000000">
            <w:pPr>
              <w:jc w:val="center"/>
            </w:pPr>
            <w:r>
              <w:rPr>
                <w:sz w:val="17"/>
              </w:rPr>
              <w:t>0.437</w:t>
            </w:r>
          </w:p>
        </w:tc>
        <w:tc>
          <w:tcPr>
            <w:tcW w:w="1740" w:type="dxa"/>
            <w:tcBorders>
              <w:top w:val="single" w:sz="4" w:space="0" w:color="000000"/>
              <w:left w:val="single" w:sz="4" w:space="0" w:color="000000"/>
              <w:bottom w:val="single" w:sz="4" w:space="0" w:color="000000"/>
              <w:right w:val="single" w:sz="4" w:space="0" w:color="000000"/>
            </w:tcBorders>
          </w:tcPr>
          <w:p w14:paraId="31088DD0" w14:textId="77777777" w:rsidR="00532B9E" w:rsidRDefault="00000000">
            <w:pPr>
              <w:jc w:val="center"/>
            </w:pPr>
            <w:r>
              <w:rPr>
                <w:sz w:val="17"/>
              </w:rPr>
              <w:t>-1.43%</w:t>
            </w:r>
          </w:p>
        </w:tc>
        <w:tc>
          <w:tcPr>
            <w:tcW w:w="1740" w:type="dxa"/>
            <w:tcBorders>
              <w:top w:val="single" w:sz="4" w:space="0" w:color="000000"/>
              <w:left w:val="single" w:sz="4" w:space="0" w:color="000000"/>
              <w:bottom w:val="single" w:sz="4" w:space="0" w:color="000000"/>
              <w:right w:val="single" w:sz="4" w:space="0" w:color="000000"/>
            </w:tcBorders>
          </w:tcPr>
          <w:p w14:paraId="30352C1F" w14:textId="77777777" w:rsidR="00532B9E" w:rsidRDefault="00000000">
            <w:pPr>
              <w:jc w:val="center"/>
            </w:pPr>
            <w:r>
              <w:rPr>
                <w:sz w:val="17"/>
              </w:rPr>
              <w:t>10.0%</w:t>
            </w:r>
          </w:p>
        </w:tc>
      </w:tr>
      <w:tr w:rsidR="00532B9E" w14:paraId="1B415264"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7570A96C" w14:textId="77777777" w:rsidR="00532B9E" w:rsidRDefault="00000000">
            <w:pPr>
              <w:jc w:val="center"/>
            </w:pPr>
            <w:r>
              <w:rPr>
                <w:sz w:val="17"/>
              </w:rPr>
              <w:t>AAPL</w:t>
            </w:r>
          </w:p>
        </w:tc>
        <w:tc>
          <w:tcPr>
            <w:tcW w:w="1740" w:type="dxa"/>
            <w:tcBorders>
              <w:top w:val="single" w:sz="4" w:space="0" w:color="000000"/>
              <w:left w:val="single" w:sz="4" w:space="0" w:color="000000"/>
              <w:bottom w:val="single" w:sz="4" w:space="0" w:color="000000"/>
              <w:right w:val="single" w:sz="4" w:space="0" w:color="000000"/>
            </w:tcBorders>
          </w:tcPr>
          <w:p w14:paraId="7E207A23" w14:textId="77777777" w:rsidR="00532B9E" w:rsidRDefault="00000000">
            <w:pPr>
              <w:jc w:val="center"/>
            </w:pPr>
            <w:r>
              <w:rPr>
                <w:sz w:val="17"/>
              </w:rPr>
              <w:t>Combined</w:t>
            </w:r>
          </w:p>
        </w:tc>
        <w:tc>
          <w:tcPr>
            <w:tcW w:w="1740" w:type="dxa"/>
            <w:tcBorders>
              <w:top w:val="single" w:sz="4" w:space="0" w:color="000000"/>
              <w:left w:val="single" w:sz="4" w:space="0" w:color="000000"/>
              <w:bottom w:val="single" w:sz="4" w:space="0" w:color="000000"/>
              <w:right w:val="single" w:sz="4" w:space="0" w:color="000000"/>
            </w:tcBorders>
          </w:tcPr>
          <w:p w14:paraId="3EFA82D5" w14:textId="77777777" w:rsidR="00532B9E" w:rsidRDefault="00000000">
            <w:pPr>
              <w:jc w:val="center"/>
            </w:pPr>
            <w:r>
              <w:rPr>
                <w:sz w:val="17"/>
              </w:rPr>
              <w:t>+9.59%</w:t>
            </w:r>
          </w:p>
        </w:tc>
        <w:tc>
          <w:tcPr>
            <w:tcW w:w="1740" w:type="dxa"/>
            <w:tcBorders>
              <w:top w:val="single" w:sz="4" w:space="0" w:color="000000"/>
              <w:left w:val="single" w:sz="4" w:space="0" w:color="000000"/>
              <w:bottom w:val="single" w:sz="4" w:space="0" w:color="000000"/>
              <w:right w:val="single" w:sz="4" w:space="0" w:color="000000"/>
            </w:tcBorders>
          </w:tcPr>
          <w:p w14:paraId="2B79F16F" w14:textId="77777777" w:rsidR="00532B9E" w:rsidRDefault="00000000">
            <w:pPr>
              <w:jc w:val="center"/>
            </w:pPr>
            <w:r>
              <w:rPr>
                <w:sz w:val="17"/>
              </w:rPr>
              <w:t>2.066</w:t>
            </w:r>
          </w:p>
        </w:tc>
        <w:tc>
          <w:tcPr>
            <w:tcW w:w="1740" w:type="dxa"/>
            <w:tcBorders>
              <w:top w:val="single" w:sz="4" w:space="0" w:color="000000"/>
              <w:left w:val="single" w:sz="4" w:space="0" w:color="000000"/>
              <w:bottom w:val="single" w:sz="4" w:space="0" w:color="000000"/>
              <w:right w:val="single" w:sz="4" w:space="0" w:color="000000"/>
            </w:tcBorders>
          </w:tcPr>
          <w:p w14:paraId="002FF0D1" w14:textId="77777777" w:rsidR="00532B9E" w:rsidRDefault="00000000">
            <w:pPr>
              <w:jc w:val="center"/>
            </w:pPr>
            <w:r>
              <w:rPr>
                <w:sz w:val="17"/>
              </w:rPr>
              <w:t>-1.43%</w:t>
            </w:r>
          </w:p>
        </w:tc>
        <w:tc>
          <w:tcPr>
            <w:tcW w:w="1740" w:type="dxa"/>
            <w:tcBorders>
              <w:top w:val="single" w:sz="4" w:space="0" w:color="000000"/>
              <w:left w:val="single" w:sz="4" w:space="0" w:color="000000"/>
              <w:bottom w:val="single" w:sz="4" w:space="0" w:color="000000"/>
              <w:right w:val="single" w:sz="4" w:space="0" w:color="000000"/>
            </w:tcBorders>
          </w:tcPr>
          <w:p w14:paraId="4A362BF6" w14:textId="77777777" w:rsidR="00532B9E" w:rsidRDefault="00000000">
            <w:pPr>
              <w:jc w:val="center"/>
            </w:pPr>
            <w:r>
              <w:rPr>
                <w:sz w:val="17"/>
              </w:rPr>
              <w:t>19.1%</w:t>
            </w:r>
          </w:p>
        </w:tc>
      </w:tr>
    </w:tbl>
    <w:p w14:paraId="340275E9" w14:textId="77777777" w:rsidR="00532B9E" w:rsidRDefault="00532B9E"/>
    <w:p w14:paraId="475A7134" w14:textId="77777777" w:rsidR="008D1F79" w:rsidRDefault="008D1F79" w:rsidP="008D1F79">
      <w:pPr>
        <w:spacing w:before="120" w:after="40"/>
        <w:rPr>
          <w:sz w:val="21"/>
        </w:rPr>
      </w:pPr>
      <w:r w:rsidRPr="008D1F79">
        <w:rPr>
          <w:sz w:val="21"/>
        </w:rPr>
        <w:t>Compared to a simple Buy &amp; Hold strategy as a reference point (over the same 252-day period), RELIANCE.NS B&amp;H returned -8.7% with a max drawdown of -20.6%, while the test system produced positive combined returns of +1.43% and a much lower drawdown of -3.22%, thus illustrating the power of the ATR-based stop-loss and the value of trading only long signals in bullish regimes and short signals in bearish regimes.</w:t>
      </w:r>
    </w:p>
    <w:p w14:paraId="0017C34E" w14:textId="5D81605B" w:rsidR="00532B9E" w:rsidRDefault="00000000">
      <w:pPr>
        <w:spacing w:before="120" w:after="40"/>
        <w:jc w:val="center"/>
      </w:pPr>
      <w:r>
        <w:rPr>
          <w:noProof/>
        </w:rPr>
        <w:drawing>
          <wp:inline distT="0" distB="0" distL="0" distR="0" wp14:anchorId="243257F2" wp14:editId="3A64A293">
            <wp:extent cx="2743200" cy="11107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NS_equity_curve.png"/>
                    <pic:cNvPicPr/>
                  </pic:nvPicPr>
                  <pic:blipFill>
                    <a:blip r:embed="rId8"/>
                    <a:stretch>
                      <a:fillRect/>
                    </a:stretch>
                  </pic:blipFill>
                  <pic:spPr>
                    <a:xfrm>
                      <a:off x="0" y="0"/>
                      <a:ext cx="2743200" cy="1110781"/>
                    </a:xfrm>
                    <a:prstGeom prst="rect">
                      <a:avLst/>
                    </a:prstGeom>
                  </pic:spPr>
                </pic:pic>
              </a:graphicData>
            </a:graphic>
          </wp:inline>
        </w:drawing>
      </w:r>
    </w:p>
    <w:p w14:paraId="2AAC4215" w14:textId="77777777" w:rsidR="00532B9E" w:rsidRDefault="00000000">
      <w:pPr>
        <w:spacing w:before="40" w:after="120"/>
        <w:jc w:val="center"/>
      </w:pPr>
      <w:r>
        <w:rPr>
          <w:i/>
          <w:sz w:val="18"/>
        </w:rPr>
        <w:t>Fig. 3. RELIANCE.NS walk-forward equity curve. The strategy (blue) outperforms Buy &amp; Hold (gray dashed) throughout the bear market period, achieving +1.43% vs. −8.7% buy-and-hold return.</w:t>
      </w:r>
    </w:p>
    <w:p w14:paraId="2D6FE2B1" w14:textId="77777777" w:rsidR="00532B9E" w:rsidRDefault="00000000">
      <w:pPr>
        <w:spacing w:before="120" w:after="40"/>
        <w:jc w:val="center"/>
      </w:pPr>
      <w:r>
        <w:rPr>
          <w:noProof/>
        </w:rPr>
        <w:drawing>
          <wp:inline distT="0" distB="0" distL="0" distR="0" wp14:anchorId="41BDBC11" wp14:editId="26E4A9C6">
            <wp:extent cx="2743200" cy="9016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NS_rolling_sharpe.png"/>
                    <pic:cNvPicPr/>
                  </pic:nvPicPr>
                  <pic:blipFill>
                    <a:blip r:embed="rId9"/>
                    <a:stretch>
                      <a:fillRect/>
                    </a:stretch>
                  </pic:blipFill>
                  <pic:spPr>
                    <a:xfrm>
                      <a:off x="0" y="0"/>
                      <a:ext cx="2743200" cy="901678"/>
                    </a:xfrm>
                    <a:prstGeom prst="rect">
                      <a:avLst/>
                    </a:prstGeom>
                  </pic:spPr>
                </pic:pic>
              </a:graphicData>
            </a:graphic>
          </wp:inline>
        </w:drawing>
      </w:r>
    </w:p>
    <w:p w14:paraId="38587738" w14:textId="77777777" w:rsidR="00532B9E" w:rsidRDefault="00000000">
      <w:pPr>
        <w:spacing w:before="40" w:after="120"/>
        <w:jc w:val="center"/>
      </w:pPr>
      <w:r>
        <w:rPr>
          <w:i/>
          <w:sz w:val="18"/>
        </w:rPr>
        <w:t>Fig. 4. RELIANCE.NS rolling 63-day Sharpe ratio. Positive Sharpe periods correlate with successful regime detection and ATR-adaptive signal generation.</w:t>
      </w:r>
    </w:p>
    <w:p w14:paraId="34E26DCB" w14:textId="77777777" w:rsidR="00532B9E" w:rsidRDefault="00000000">
      <w:pPr>
        <w:spacing w:before="160" w:after="80"/>
      </w:pPr>
      <w:r>
        <w:rPr>
          <w:b/>
          <w:i/>
          <w:sz w:val="23"/>
        </w:rPr>
        <w:t>D. ROC and Precision-Recall Curves</w:t>
      </w:r>
    </w:p>
    <w:p w14:paraId="6A5F8665" w14:textId="23A662A6" w:rsidR="00532B9E" w:rsidRDefault="008D1F79">
      <w:pPr>
        <w:spacing w:before="120" w:after="40"/>
        <w:jc w:val="center"/>
      </w:pPr>
      <w:r w:rsidRPr="008D1F79">
        <w:rPr>
          <w:sz w:val="21"/>
        </w:rPr>
        <w:t xml:space="preserve">The following graphics depict the results of the live model evaluation on the out of sample over 252-day test set for RELIANCE.NS, comparing the stacking ensemble to the Random Forest and the Logistic Regression baselines, </w:t>
      </w:r>
      <w:r w:rsidRPr="008D1F79">
        <w:rPr>
          <w:sz w:val="21"/>
        </w:rPr>
        <w:t>respectively:</w:t>
      </w:r>
      <w:r>
        <w:rPr>
          <w:noProof/>
        </w:rPr>
        <w:drawing>
          <wp:inline distT="0" distB="0" distL="0" distR="0" wp14:anchorId="2D51E35A" wp14:editId="398BC60B">
            <wp:extent cx="2743200" cy="2252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0"/>
                    <a:stretch>
                      <a:fillRect/>
                    </a:stretch>
                  </pic:blipFill>
                  <pic:spPr>
                    <a:xfrm>
                      <a:off x="0" y="0"/>
                      <a:ext cx="2743200" cy="2252999"/>
                    </a:xfrm>
                    <a:prstGeom prst="rect">
                      <a:avLst/>
                    </a:prstGeom>
                  </pic:spPr>
                </pic:pic>
              </a:graphicData>
            </a:graphic>
          </wp:inline>
        </w:drawing>
      </w:r>
    </w:p>
    <w:p w14:paraId="6DB3B2C5" w14:textId="77777777" w:rsidR="00532B9E" w:rsidRDefault="00000000">
      <w:pPr>
        <w:spacing w:before="40" w:after="120"/>
        <w:jc w:val="center"/>
      </w:pPr>
      <w:r>
        <w:rPr>
          <w:i/>
          <w:sz w:val="18"/>
        </w:rPr>
        <w:t>Fig. 5. Receiver Operating Characteristic (ROC) curve for the ensemble and baselines. The Stacking Ensemble achieves superior AUC driven by the LightGBM component.</w:t>
      </w:r>
    </w:p>
    <w:p w14:paraId="21DE26DB" w14:textId="77777777" w:rsidR="00532B9E" w:rsidRDefault="00000000">
      <w:pPr>
        <w:spacing w:before="120" w:after="40"/>
        <w:jc w:val="center"/>
      </w:pPr>
      <w:r>
        <w:rPr>
          <w:noProof/>
        </w:rPr>
        <w:drawing>
          <wp:inline distT="0" distB="0" distL="0" distR="0" wp14:anchorId="42395F60" wp14:editId="2E0CB560">
            <wp:extent cx="2743200" cy="2251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png"/>
                    <pic:cNvPicPr/>
                  </pic:nvPicPr>
                  <pic:blipFill>
                    <a:blip r:embed="rId11"/>
                    <a:stretch>
                      <a:fillRect/>
                    </a:stretch>
                  </pic:blipFill>
                  <pic:spPr>
                    <a:xfrm>
                      <a:off x="0" y="0"/>
                      <a:ext cx="2743200" cy="2251929"/>
                    </a:xfrm>
                    <a:prstGeom prst="rect">
                      <a:avLst/>
                    </a:prstGeom>
                  </pic:spPr>
                </pic:pic>
              </a:graphicData>
            </a:graphic>
          </wp:inline>
        </w:drawing>
      </w:r>
    </w:p>
    <w:p w14:paraId="628559A0" w14:textId="77777777" w:rsidR="00532B9E" w:rsidRDefault="00000000">
      <w:pPr>
        <w:spacing w:before="40" w:after="120"/>
        <w:jc w:val="center"/>
      </w:pPr>
      <w:r>
        <w:rPr>
          <w:i/>
          <w:sz w:val="18"/>
        </w:rPr>
        <w:t>Fig. 6. Precision-Recall curve. The ensemble’s average precision is compared against Random Forest and Logistic Regression baselines.</w:t>
      </w:r>
    </w:p>
    <w:p w14:paraId="629320B8" w14:textId="77777777" w:rsidR="00FB5ED3" w:rsidRDefault="00FB5ED3">
      <w:pPr>
        <w:spacing w:before="160" w:after="80"/>
        <w:rPr>
          <w:sz w:val="21"/>
        </w:rPr>
      </w:pPr>
      <w:r w:rsidRPr="00FB5ED3">
        <w:rPr>
          <w:sz w:val="21"/>
        </w:rPr>
        <w:t>In order to assess whether the reported result was statistically significant we conduct McNemar's test which compares the performance of Rank-Blend Meta-learner against the best standalone model (</w:t>
      </w:r>
      <w:proofErr w:type="spellStart"/>
      <w:r w:rsidRPr="00FB5ED3">
        <w:rPr>
          <w:sz w:val="21"/>
        </w:rPr>
        <w:t>LightGBM</w:t>
      </w:r>
      <w:proofErr w:type="spellEnd"/>
      <w:r w:rsidRPr="00FB5ED3">
        <w:rPr>
          <w:sz w:val="21"/>
        </w:rPr>
        <w:t xml:space="preserve">). Overall statistic of the test turns out to be χ² = 0.237 which is not significant at the level of p = 0.626 and thus we cannot reject the null hypothesis of marginal homogeneity. One possible interpretation of this result is that for each particular asset the model prediction errors are not significantly different from the errors made by the best standalone model </w:t>
      </w:r>
      <w:proofErr w:type="spellStart"/>
      <w:r w:rsidRPr="00FB5ED3">
        <w:rPr>
          <w:sz w:val="21"/>
        </w:rPr>
        <w:t>LightGBM</w:t>
      </w:r>
      <w:proofErr w:type="spellEnd"/>
      <w:r w:rsidRPr="00FB5ED3">
        <w:rPr>
          <w:sz w:val="21"/>
        </w:rPr>
        <w:t>, which in turn suggests that the predictive power of Rank-Blend mainly comes from the ability to generalize across different assets.</w:t>
      </w:r>
    </w:p>
    <w:p w14:paraId="27BBCA52" w14:textId="3F134D8E" w:rsidR="00532B9E" w:rsidRDefault="00000000">
      <w:pPr>
        <w:spacing w:before="160" w:after="80"/>
      </w:pPr>
      <w:r>
        <w:rPr>
          <w:b/>
          <w:i/>
          <w:sz w:val="23"/>
        </w:rPr>
        <w:t>E. Feature Importance Analysis</w:t>
      </w:r>
    </w:p>
    <w:p w14:paraId="1B0C8C2A" w14:textId="77777777" w:rsidR="00FB5ED3" w:rsidRDefault="00FB5ED3" w:rsidP="00FB5ED3">
      <w:pPr>
        <w:spacing w:before="120" w:after="40"/>
        <w:rPr>
          <w:sz w:val="21"/>
        </w:rPr>
      </w:pPr>
      <w:proofErr w:type="spellStart"/>
      <w:r w:rsidRPr="00FB5ED3">
        <w:rPr>
          <w:sz w:val="21"/>
        </w:rPr>
        <w:lastRenderedPageBreak/>
        <w:t>LightGBM</w:t>
      </w:r>
      <w:proofErr w:type="spellEnd"/>
      <w:r w:rsidRPr="00FB5ED3">
        <w:rPr>
          <w:sz w:val="21"/>
        </w:rPr>
        <w:t xml:space="preserve"> feature importance: the most relevant predictors are related to volatility awareness and momentum-orientation since the largest gains are associated with GARCH conditional volatility and recent returns. The TCN probability is responsible for only a small gain, being insignificant for the low AUC score: the TCN feature contains limited information beyond what is already present in the </w:t>
      </w:r>
      <w:proofErr w:type="spellStart"/>
      <w:r w:rsidRPr="00FB5ED3">
        <w:rPr>
          <w:sz w:val="21"/>
        </w:rPr>
        <w:t>LightGBM</w:t>
      </w:r>
      <w:proofErr w:type="spellEnd"/>
      <w:r w:rsidRPr="00FB5ED3">
        <w:rPr>
          <w:sz w:val="21"/>
        </w:rPr>
        <w:t xml:space="preserve"> model in terms of these two features.</w:t>
      </w:r>
    </w:p>
    <w:p w14:paraId="387FC085" w14:textId="166425D8" w:rsidR="00532B9E" w:rsidRDefault="00000000" w:rsidP="00FB5ED3">
      <w:pPr>
        <w:spacing w:before="120" w:after="40"/>
        <w:jc w:val="center"/>
      </w:pPr>
      <w:r>
        <w:rPr>
          <w:noProof/>
        </w:rPr>
        <w:drawing>
          <wp:inline distT="0" distB="0" distL="0" distR="0" wp14:anchorId="3896F300" wp14:editId="11F519A6">
            <wp:extent cx="2743200" cy="2194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2"/>
                    <a:stretch>
                      <a:fillRect/>
                    </a:stretch>
                  </pic:blipFill>
                  <pic:spPr>
                    <a:xfrm>
                      <a:off x="0" y="0"/>
                      <a:ext cx="2743200" cy="2194560"/>
                    </a:xfrm>
                    <a:prstGeom prst="rect">
                      <a:avLst/>
                    </a:prstGeom>
                  </pic:spPr>
                </pic:pic>
              </a:graphicData>
            </a:graphic>
          </wp:inline>
        </w:drawing>
      </w:r>
    </w:p>
    <w:p w14:paraId="30DEA7B8" w14:textId="77777777" w:rsidR="008D1F79" w:rsidRPr="008D1F79" w:rsidRDefault="00000000" w:rsidP="008D1F79">
      <w:pPr>
        <w:spacing w:before="40" w:after="120"/>
        <w:jc w:val="center"/>
        <w:rPr>
          <w:i/>
          <w:sz w:val="18"/>
        </w:rPr>
      </w:pPr>
      <w:r>
        <w:rPr>
          <w:i/>
          <w:sz w:val="18"/>
        </w:rPr>
        <w:t xml:space="preserve">Fig. 7. </w:t>
      </w:r>
      <w:r w:rsidR="008D1F79" w:rsidRPr="008D1F79">
        <w:rPr>
          <w:i/>
          <w:sz w:val="18"/>
        </w:rPr>
        <w:t xml:space="preserve">The Top 15 </w:t>
      </w:r>
      <w:proofErr w:type="spellStart"/>
      <w:r w:rsidR="008D1F79" w:rsidRPr="008D1F79">
        <w:rPr>
          <w:i/>
          <w:sz w:val="18"/>
        </w:rPr>
        <w:t>LightGBM</w:t>
      </w:r>
      <w:proofErr w:type="spellEnd"/>
      <w:r w:rsidR="008D1F79" w:rsidRPr="008D1F79">
        <w:rPr>
          <w:i/>
          <w:sz w:val="18"/>
        </w:rPr>
        <w:t xml:space="preserve"> features by gain are presented below.</w:t>
      </w:r>
    </w:p>
    <w:p w14:paraId="6B78DAB2" w14:textId="77777777" w:rsidR="008D1F79" w:rsidRDefault="008D1F79" w:rsidP="008D1F79">
      <w:pPr>
        <w:spacing w:before="40" w:after="120"/>
        <w:jc w:val="center"/>
        <w:rPr>
          <w:i/>
          <w:sz w:val="18"/>
        </w:rPr>
      </w:pPr>
      <w:r w:rsidRPr="008D1F79">
        <w:rPr>
          <w:i/>
          <w:sz w:val="18"/>
        </w:rPr>
        <w:t xml:space="preserve">The majority of these features are related to volatility, such as GARCH volatility, rolling returns, and ATR-based features, with </w:t>
      </w:r>
      <w:proofErr w:type="spellStart"/>
      <w:r w:rsidRPr="008D1F79">
        <w:rPr>
          <w:i/>
          <w:sz w:val="18"/>
        </w:rPr>
        <w:t>tcn_prob</w:t>
      </w:r>
      <w:proofErr w:type="spellEnd"/>
      <w:r w:rsidRPr="008D1F79">
        <w:rPr>
          <w:i/>
          <w:sz w:val="18"/>
        </w:rPr>
        <w:t xml:space="preserve"> being among the least predictive features, suggesting limited value in deep learning approaches for small-sample training sets.</w:t>
      </w:r>
    </w:p>
    <w:p w14:paraId="3D1E81B8" w14:textId="4D9F186D" w:rsidR="00532B9E" w:rsidRDefault="00000000" w:rsidP="008D1F79">
      <w:pPr>
        <w:spacing w:before="40" w:after="120"/>
        <w:jc w:val="center"/>
      </w:pPr>
      <w:r>
        <w:rPr>
          <w:b/>
          <w:i/>
          <w:sz w:val="23"/>
        </w:rPr>
        <w:t>F. Confusion Matrix Analysis</w:t>
      </w:r>
    </w:p>
    <w:p w14:paraId="3703934B" w14:textId="4690B3A6" w:rsidR="00532B9E" w:rsidRDefault="008D1F79">
      <w:pPr>
        <w:spacing w:before="120" w:after="40"/>
        <w:jc w:val="center"/>
      </w:pPr>
      <w:r w:rsidRPr="008D1F79">
        <w:rPr>
          <w:sz w:val="21"/>
        </w:rPr>
        <w:t>The confusion matrix highlights the ensemble decision rule on the out-of-sample test set. With the Rank-Blend meta-learner and Youden’s J as the optimality criterion, the best threshold is selected to maximize the directional accuracy and balance precision-recall:</w:t>
      </w:r>
      <w:r>
        <w:rPr>
          <w:noProof/>
        </w:rPr>
        <w:drawing>
          <wp:inline distT="0" distB="0" distL="0" distR="0" wp14:anchorId="02E5B632" wp14:editId="418B5B2E">
            <wp:extent cx="27432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heatmap.png"/>
                    <pic:cNvPicPr/>
                  </pic:nvPicPr>
                  <pic:blipFill>
                    <a:blip r:embed="rId13"/>
                    <a:stretch>
                      <a:fillRect/>
                    </a:stretch>
                  </pic:blipFill>
                  <pic:spPr>
                    <a:xfrm>
                      <a:off x="0" y="0"/>
                      <a:ext cx="2743200" cy="2286000"/>
                    </a:xfrm>
                    <a:prstGeom prst="rect">
                      <a:avLst/>
                    </a:prstGeom>
                  </pic:spPr>
                </pic:pic>
              </a:graphicData>
            </a:graphic>
          </wp:inline>
        </w:drawing>
      </w:r>
    </w:p>
    <w:p w14:paraId="1F3681E9" w14:textId="6F86339D" w:rsidR="00532B9E" w:rsidRDefault="00000000">
      <w:pPr>
        <w:spacing w:before="40" w:after="120"/>
        <w:jc w:val="center"/>
      </w:pPr>
      <w:r>
        <w:rPr>
          <w:i/>
          <w:sz w:val="18"/>
        </w:rPr>
        <w:t xml:space="preserve">Fig. 8. </w:t>
      </w:r>
      <w:r w:rsidR="008D1F79" w:rsidRPr="008D1F79">
        <w:rPr>
          <w:i/>
          <w:sz w:val="18"/>
        </w:rPr>
        <w:t xml:space="preserve">Stacking ensemble confusion matrix (252-day OOS test). The model demonstrates a fair trade-off between the accuracy of bull and </w:t>
      </w:r>
      <w:r w:rsidR="008D1F79" w:rsidRPr="008D1F79">
        <w:rPr>
          <w:i/>
          <w:sz w:val="18"/>
        </w:rPr>
        <w:t>bear predictions, unlike the original system that suffered from severe false positive bias.</w:t>
      </w:r>
    </w:p>
    <w:p w14:paraId="09227D12" w14:textId="77777777" w:rsidR="00532B9E" w:rsidRDefault="00000000">
      <w:pPr>
        <w:spacing w:before="160" w:after="80"/>
      </w:pPr>
      <w:r>
        <w:rPr>
          <w:b/>
          <w:i/>
          <w:sz w:val="23"/>
        </w:rPr>
        <w:t>G. Prediction Horizon Sensitivity</w:t>
      </w:r>
    </w:p>
    <w:p w14:paraId="4C2321F1" w14:textId="77777777" w:rsidR="00D32B9C" w:rsidRDefault="00D32B9C">
      <w:pPr>
        <w:spacing w:before="120" w:after="40"/>
        <w:jc w:val="center"/>
        <w:rPr>
          <w:sz w:val="21"/>
        </w:rPr>
      </w:pPr>
      <w:r w:rsidRPr="00D32B9C">
        <w:rPr>
          <w:sz w:val="21"/>
        </w:rPr>
        <w:t xml:space="preserve">In order to test the 5-day prediction horizon empirically we evaluate the full ensemble on multiple forward horizons. For each of them the </w:t>
      </w:r>
      <w:proofErr w:type="spellStart"/>
      <w:r w:rsidRPr="00D32B9C">
        <w:rPr>
          <w:sz w:val="21"/>
        </w:rPr>
        <w:t>LightGBM</w:t>
      </w:r>
      <w:proofErr w:type="spellEnd"/>
      <w:r w:rsidRPr="00D32B9C">
        <w:rPr>
          <w:sz w:val="21"/>
        </w:rPr>
        <w:t xml:space="preserve"> and Meta-Learner are retrained while the TCN backbone is kept constant (trained on 5-day labels):</w:t>
      </w:r>
    </w:p>
    <w:p w14:paraId="2114DC60" w14:textId="1F88549F" w:rsidR="00532B9E" w:rsidRDefault="00000000">
      <w:pPr>
        <w:spacing w:before="120" w:after="40"/>
        <w:jc w:val="center"/>
      </w:pPr>
      <w:r>
        <w:rPr>
          <w:b/>
          <w:sz w:val="18"/>
        </w:rPr>
        <w:t>TABLE VI. Multi-Horizon Prediction Performance (Expanded Dataset)</w:t>
      </w:r>
    </w:p>
    <w:tbl>
      <w:tblPr>
        <w:tblW w:w="0" w:type="auto"/>
        <w:jc w:val="center"/>
        <w:tblLook w:val="04A0" w:firstRow="1" w:lastRow="0" w:firstColumn="1" w:lastColumn="0" w:noHBand="0" w:noVBand="1"/>
      </w:tblPr>
      <w:tblGrid>
        <w:gridCol w:w="875"/>
        <w:gridCol w:w="758"/>
        <w:gridCol w:w="673"/>
        <w:gridCol w:w="834"/>
        <w:gridCol w:w="817"/>
        <w:gridCol w:w="622"/>
        <w:gridCol w:w="483"/>
      </w:tblGrid>
      <w:tr w:rsidR="00532B9E" w14:paraId="154541B7" w14:textId="77777777">
        <w:trPr>
          <w:jc w:val="center"/>
        </w:trPr>
        <w:tc>
          <w:tcPr>
            <w:tcW w:w="1491" w:type="dxa"/>
            <w:tcBorders>
              <w:top w:val="single" w:sz="6" w:space="0" w:color="000000"/>
              <w:left w:val="single" w:sz="6" w:space="0" w:color="000000"/>
              <w:bottom w:val="single" w:sz="6" w:space="0" w:color="000000"/>
              <w:right w:val="single" w:sz="6" w:space="0" w:color="000000"/>
            </w:tcBorders>
            <w:shd w:val="clear" w:color="auto" w:fill="D9E2F3"/>
          </w:tcPr>
          <w:p w14:paraId="3857007A" w14:textId="77777777" w:rsidR="00532B9E" w:rsidRDefault="00000000">
            <w:pPr>
              <w:jc w:val="center"/>
            </w:pPr>
            <w:r>
              <w:rPr>
                <w:b/>
                <w:sz w:val="17"/>
              </w:rPr>
              <w:t>Horizon</w:t>
            </w:r>
          </w:p>
        </w:tc>
        <w:tc>
          <w:tcPr>
            <w:tcW w:w="1491" w:type="dxa"/>
            <w:tcBorders>
              <w:top w:val="single" w:sz="6" w:space="0" w:color="000000"/>
              <w:left w:val="single" w:sz="6" w:space="0" w:color="000000"/>
              <w:bottom w:val="single" w:sz="6" w:space="0" w:color="000000"/>
              <w:right w:val="single" w:sz="6" w:space="0" w:color="000000"/>
            </w:tcBorders>
            <w:shd w:val="clear" w:color="auto" w:fill="D9E2F3"/>
          </w:tcPr>
          <w:p w14:paraId="7CBA2B99" w14:textId="77777777" w:rsidR="00532B9E" w:rsidRDefault="00000000">
            <w:pPr>
              <w:jc w:val="center"/>
            </w:pPr>
            <w:r>
              <w:rPr>
                <w:b/>
                <w:sz w:val="17"/>
              </w:rPr>
              <w:t>Test Samples</w:t>
            </w:r>
          </w:p>
        </w:tc>
        <w:tc>
          <w:tcPr>
            <w:tcW w:w="1491" w:type="dxa"/>
            <w:tcBorders>
              <w:top w:val="single" w:sz="6" w:space="0" w:color="000000"/>
              <w:left w:val="single" w:sz="6" w:space="0" w:color="000000"/>
              <w:bottom w:val="single" w:sz="6" w:space="0" w:color="000000"/>
              <w:right w:val="single" w:sz="6" w:space="0" w:color="000000"/>
            </w:tcBorders>
            <w:shd w:val="clear" w:color="auto" w:fill="D9E2F3"/>
          </w:tcPr>
          <w:p w14:paraId="0D278046" w14:textId="77777777" w:rsidR="00532B9E" w:rsidRDefault="00000000">
            <w:pPr>
              <w:jc w:val="center"/>
            </w:pPr>
            <w:r>
              <w:rPr>
                <w:b/>
                <w:sz w:val="17"/>
              </w:rPr>
              <w:t>Bullish %</w:t>
            </w:r>
          </w:p>
        </w:tc>
        <w:tc>
          <w:tcPr>
            <w:tcW w:w="1491" w:type="dxa"/>
            <w:tcBorders>
              <w:top w:val="single" w:sz="6" w:space="0" w:color="000000"/>
              <w:left w:val="single" w:sz="6" w:space="0" w:color="000000"/>
              <w:bottom w:val="single" w:sz="6" w:space="0" w:color="000000"/>
              <w:right w:val="single" w:sz="6" w:space="0" w:color="000000"/>
            </w:tcBorders>
            <w:shd w:val="clear" w:color="auto" w:fill="D9E2F3"/>
          </w:tcPr>
          <w:p w14:paraId="3F70C24A" w14:textId="77777777" w:rsidR="00532B9E" w:rsidRDefault="00000000">
            <w:pPr>
              <w:jc w:val="center"/>
            </w:pPr>
            <w:r>
              <w:rPr>
                <w:b/>
                <w:sz w:val="17"/>
              </w:rPr>
              <w:t>Accuracy (%)</w:t>
            </w:r>
          </w:p>
        </w:tc>
        <w:tc>
          <w:tcPr>
            <w:tcW w:w="1491" w:type="dxa"/>
            <w:tcBorders>
              <w:top w:val="single" w:sz="6" w:space="0" w:color="000000"/>
              <w:left w:val="single" w:sz="6" w:space="0" w:color="000000"/>
              <w:bottom w:val="single" w:sz="6" w:space="0" w:color="000000"/>
              <w:right w:val="single" w:sz="6" w:space="0" w:color="000000"/>
            </w:tcBorders>
            <w:shd w:val="clear" w:color="auto" w:fill="D9E2F3"/>
          </w:tcPr>
          <w:p w14:paraId="63DA67F3" w14:textId="77777777" w:rsidR="00532B9E" w:rsidRDefault="00000000">
            <w:pPr>
              <w:jc w:val="center"/>
            </w:pPr>
            <w:r>
              <w:rPr>
                <w:b/>
                <w:sz w:val="17"/>
              </w:rPr>
              <w:t>Precision (%)</w:t>
            </w:r>
          </w:p>
        </w:tc>
        <w:tc>
          <w:tcPr>
            <w:tcW w:w="1491" w:type="dxa"/>
            <w:tcBorders>
              <w:top w:val="single" w:sz="6" w:space="0" w:color="000000"/>
              <w:left w:val="single" w:sz="6" w:space="0" w:color="000000"/>
              <w:bottom w:val="single" w:sz="6" w:space="0" w:color="000000"/>
              <w:right w:val="single" w:sz="6" w:space="0" w:color="000000"/>
            </w:tcBorders>
            <w:shd w:val="clear" w:color="auto" w:fill="D9E2F3"/>
          </w:tcPr>
          <w:p w14:paraId="4CD2B1AA" w14:textId="77777777" w:rsidR="00532B9E" w:rsidRDefault="00000000">
            <w:pPr>
              <w:jc w:val="center"/>
            </w:pPr>
            <w:r>
              <w:rPr>
                <w:b/>
                <w:sz w:val="17"/>
              </w:rPr>
              <w:t>Recall (%)</w:t>
            </w:r>
          </w:p>
        </w:tc>
        <w:tc>
          <w:tcPr>
            <w:tcW w:w="1491" w:type="dxa"/>
            <w:tcBorders>
              <w:top w:val="single" w:sz="6" w:space="0" w:color="000000"/>
              <w:left w:val="single" w:sz="6" w:space="0" w:color="000000"/>
              <w:bottom w:val="single" w:sz="6" w:space="0" w:color="000000"/>
              <w:right w:val="single" w:sz="6" w:space="0" w:color="000000"/>
            </w:tcBorders>
            <w:shd w:val="clear" w:color="auto" w:fill="D9E2F3"/>
          </w:tcPr>
          <w:p w14:paraId="49F69F2C" w14:textId="77777777" w:rsidR="00532B9E" w:rsidRDefault="00000000">
            <w:pPr>
              <w:jc w:val="center"/>
            </w:pPr>
            <w:r>
              <w:rPr>
                <w:b/>
                <w:sz w:val="17"/>
              </w:rPr>
              <w:t>F1 (%)</w:t>
            </w:r>
          </w:p>
        </w:tc>
      </w:tr>
      <w:tr w:rsidR="00532B9E" w14:paraId="7F34C8EF" w14:textId="77777777">
        <w:trPr>
          <w:jc w:val="center"/>
        </w:trPr>
        <w:tc>
          <w:tcPr>
            <w:tcW w:w="1491" w:type="dxa"/>
            <w:tcBorders>
              <w:top w:val="single" w:sz="4" w:space="0" w:color="000000"/>
              <w:left w:val="single" w:sz="4" w:space="0" w:color="000000"/>
              <w:bottom w:val="single" w:sz="4" w:space="0" w:color="000000"/>
              <w:right w:val="single" w:sz="4" w:space="0" w:color="000000"/>
            </w:tcBorders>
          </w:tcPr>
          <w:p w14:paraId="1CF6BE15" w14:textId="77777777" w:rsidR="00532B9E" w:rsidRDefault="00000000">
            <w:pPr>
              <w:jc w:val="center"/>
            </w:pPr>
            <w:r>
              <w:rPr>
                <w:sz w:val="17"/>
              </w:rPr>
              <w:t>1-day</w:t>
            </w:r>
          </w:p>
        </w:tc>
        <w:tc>
          <w:tcPr>
            <w:tcW w:w="1491" w:type="dxa"/>
            <w:tcBorders>
              <w:top w:val="single" w:sz="4" w:space="0" w:color="000000"/>
              <w:left w:val="single" w:sz="4" w:space="0" w:color="000000"/>
              <w:bottom w:val="single" w:sz="4" w:space="0" w:color="000000"/>
              <w:right w:val="single" w:sz="4" w:space="0" w:color="000000"/>
            </w:tcBorders>
          </w:tcPr>
          <w:p w14:paraId="40E6F2BC" w14:textId="77777777" w:rsidR="00532B9E" w:rsidRDefault="00000000">
            <w:pPr>
              <w:jc w:val="center"/>
            </w:pPr>
            <w:r>
              <w:rPr>
                <w:sz w:val="17"/>
              </w:rPr>
              <w:t>214</w:t>
            </w:r>
          </w:p>
        </w:tc>
        <w:tc>
          <w:tcPr>
            <w:tcW w:w="1491" w:type="dxa"/>
            <w:tcBorders>
              <w:top w:val="single" w:sz="4" w:space="0" w:color="000000"/>
              <w:left w:val="single" w:sz="4" w:space="0" w:color="000000"/>
              <w:bottom w:val="single" w:sz="4" w:space="0" w:color="000000"/>
              <w:right w:val="single" w:sz="4" w:space="0" w:color="000000"/>
            </w:tcBorders>
          </w:tcPr>
          <w:p w14:paraId="76FAFE98" w14:textId="77777777" w:rsidR="00532B9E" w:rsidRDefault="00000000">
            <w:pPr>
              <w:jc w:val="center"/>
            </w:pPr>
            <w:r>
              <w:rPr>
                <w:sz w:val="17"/>
              </w:rPr>
              <w:t>50.0</w:t>
            </w:r>
          </w:p>
        </w:tc>
        <w:tc>
          <w:tcPr>
            <w:tcW w:w="1491" w:type="dxa"/>
            <w:tcBorders>
              <w:top w:val="single" w:sz="4" w:space="0" w:color="000000"/>
              <w:left w:val="single" w:sz="4" w:space="0" w:color="000000"/>
              <w:bottom w:val="single" w:sz="4" w:space="0" w:color="000000"/>
              <w:right w:val="single" w:sz="4" w:space="0" w:color="000000"/>
            </w:tcBorders>
          </w:tcPr>
          <w:p w14:paraId="1606076E" w14:textId="77777777" w:rsidR="00532B9E" w:rsidRDefault="00000000">
            <w:pPr>
              <w:jc w:val="center"/>
            </w:pPr>
            <w:r>
              <w:rPr>
                <w:sz w:val="17"/>
              </w:rPr>
              <w:t>60.7</w:t>
            </w:r>
          </w:p>
        </w:tc>
        <w:tc>
          <w:tcPr>
            <w:tcW w:w="1491" w:type="dxa"/>
            <w:tcBorders>
              <w:top w:val="single" w:sz="4" w:space="0" w:color="000000"/>
              <w:left w:val="single" w:sz="4" w:space="0" w:color="000000"/>
              <w:bottom w:val="single" w:sz="4" w:space="0" w:color="000000"/>
              <w:right w:val="single" w:sz="4" w:space="0" w:color="000000"/>
            </w:tcBorders>
          </w:tcPr>
          <w:p w14:paraId="0057C455" w14:textId="77777777" w:rsidR="00532B9E" w:rsidRDefault="00000000">
            <w:pPr>
              <w:jc w:val="center"/>
            </w:pPr>
            <w:r>
              <w:rPr>
                <w:sz w:val="17"/>
              </w:rPr>
              <w:t>61.2</w:t>
            </w:r>
          </w:p>
        </w:tc>
        <w:tc>
          <w:tcPr>
            <w:tcW w:w="1491" w:type="dxa"/>
            <w:tcBorders>
              <w:top w:val="single" w:sz="4" w:space="0" w:color="000000"/>
              <w:left w:val="single" w:sz="4" w:space="0" w:color="000000"/>
              <w:bottom w:val="single" w:sz="4" w:space="0" w:color="000000"/>
              <w:right w:val="single" w:sz="4" w:space="0" w:color="000000"/>
            </w:tcBorders>
          </w:tcPr>
          <w:p w14:paraId="42139B4A" w14:textId="77777777" w:rsidR="00532B9E" w:rsidRDefault="00000000">
            <w:pPr>
              <w:jc w:val="center"/>
            </w:pPr>
            <w:r>
              <w:rPr>
                <w:sz w:val="17"/>
              </w:rPr>
              <w:t>58.9</w:t>
            </w:r>
          </w:p>
        </w:tc>
        <w:tc>
          <w:tcPr>
            <w:tcW w:w="1491" w:type="dxa"/>
            <w:tcBorders>
              <w:top w:val="single" w:sz="4" w:space="0" w:color="000000"/>
              <w:left w:val="single" w:sz="4" w:space="0" w:color="000000"/>
              <w:bottom w:val="single" w:sz="4" w:space="0" w:color="000000"/>
              <w:right w:val="single" w:sz="4" w:space="0" w:color="000000"/>
            </w:tcBorders>
          </w:tcPr>
          <w:p w14:paraId="05393862" w14:textId="77777777" w:rsidR="00532B9E" w:rsidRDefault="00000000">
            <w:pPr>
              <w:jc w:val="center"/>
            </w:pPr>
            <w:r>
              <w:rPr>
                <w:sz w:val="17"/>
              </w:rPr>
              <w:t>60.0</w:t>
            </w:r>
          </w:p>
        </w:tc>
      </w:tr>
      <w:tr w:rsidR="00532B9E" w14:paraId="783AFC9F" w14:textId="77777777">
        <w:trPr>
          <w:jc w:val="center"/>
        </w:trPr>
        <w:tc>
          <w:tcPr>
            <w:tcW w:w="1491" w:type="dxa"/>
            <w:tcBorders>
              <w:top w:val="single" w:sz="4" w:space="0" w:color="000000"/>
              <w:left w:val="single" w:sz="4" w:space="0" w:color="000000"/>
              <w:bottom w:val="single" w:sz="4" w:space="0" w:color="000000"/>
              <w:right w:val="single" w:sz="4" w:space="0" w:color="000000"/>
            </w:tcBorders>
          </w:tcPr>
          <w:p w14:paraId="270D8804" w14:textId="77777777" w:rsidR="00532B9E" w:rsidRDefault="00000000">
            <w:pPr>
              <w:jc w:val="center"/>
            </w:pPr>
            <w:r>
              <w:rPr>
                <w:sz w:val="17"/>
              </w:rPr>
              <w:t>3-day</w:t>
            </w:r>
          </w:p>
        </w:tc>
        <w:tc>
          <w:tcPr>
            <w:tcW w:w="1491" w:type="dxa"/>
            <w:tcBorders>
              <w:top w:val="single" w:sz="4" w:space="0" w:color="000000"/>
              <w:left w:val="single" w:sz="4" w:space="0" w:color="000000"/>
              <w:bottom w:val="single" w:sz="4" w:space="0" w:color="000000"/>
              <w:right w:val="single" w:sz="4" w:space="0" w:color="000000"/>
            </w:tcBorders>
          </w:tcPr>
          <w:p w14:paraId="4D27B96D" w14:textId="77777777" w:rsidR="00532B9E" w:rsidRDefault="00000000">
            <w:pPr>
              <w:jc w:val="center"/>
            </w:pPr>
            <w:r>
              <w:rPr>
                <w:sz w:val="17"/>
              </w:rPr>
              <w:t>209</w:t>
            </w:r>
          </w:p>
        </w:tc>
        <w:tc>
          <w:tcPr>
            <w:tcW w:w="1491" w:type="dxa"/>
            <w:tcBorders>
              <w:top w:val="single" w:sz="4" w:space="0" w:color="000000"/>
              <w:left w:val="single" w:sz="4" w:space="0" w:color="000000"/>
              <w:bottom w:val="single" w:sz="4" w:space="0" w:color="000000"/>
              <w:right w:val="single" w:sz="4" w:space="0" w:color="000000"/>
            </w:tcBorders>
          </w:tcPr>
          <w:p w14:paraId="08015861" w14:textId="77777777" w:rsidR="00532B9E" w:rsidRDefault="00000000">
            <w:pPr>
              <w:jc w:val="center"/>
            </w:pPr>
            <w:r>
              <w:rPr>
                <w:sz w:val="17"/>
              </w:rPr>
              <w:t>48.3</w:t>
            </w:r>
          </w:p>
        </w:tc>
        <w:tc>
          <w:tcPr>
            <w:tcW w:w="1491" w:type="dxa"/>
            <w:tcBorders>
              <w:top w:val="single" w:sz="4" w:space="0" w:color="000000"/>
              <w:left w:val="single" w:sz="4" w:space="0" w:color="000000"/>
              <w:bottom w:val="single" w:sz="4" w:space="0" w:color="000000"/>
              <w:right w:val="single" w:sz="4" w:space="0" w:color="000000"/>
            </w:tcBorders>
          </w:tcPr>
          <w:p w14:paraId="36A8232F" w14:textId="77777777" w:rsidR="00532B9E" w:rsidRDefault="00000000">
            <w:pPr>
              <w:jc w:val="center"/>
            </w:pPr>
            <w:r>
              <w:rPr>
                <w:sz w:val="17"/>
              </w:rPr>
              <w:t>61.2</w:t>
            </w:r>
          </w:p>
        </w:tc>
        <w:tc>
          <w:tcPr>
            <w:tcW w:w="1491" w:type="dxa"/>
            <w:tcBorders>
              <w:top w:val="single" w:sz="4" w:space="0" w:color="000000"/>
              <w:left w:val="single" w:sz="4" w:space="0" w:color="000000"/>
              <w:bottom w:val="single" w:sz="4" w:space="0" w:color="000000"/>
              <w:right w:val="single" w:sz="4" w:space="0" w:color="000000"/>
            </w:tcBorders>
          </w:tcPr>
          <w:p w14:paraId="6B5A806A" w14:textId="77777777" w:rsidR="00532B9E" w:rsidRDefault="00000000">
            <w:pPr>
              <w:jc w:val="center"/>
            </w:pPr>
            <w:r>
              <w:rPr>
                <w:sz w:val="17"/>
              </w:rPr>
              <w:t>57.6</w:t>
            </w:r>
          </w:p>
        </w:tc>
        <w:tc>
          <w:tcPr>
            <w:tcW w:w="1491" w:type="dxa"/>
            <w:tcBorders>
              <w:top w:val="single" w:sz="4" w:space="0" w:color="000000"/>
              <w:left w:val="single" w:sz="4" w:space="0" w:color="000000"/>
              <w:bottom w:val="single" w:sz="4" w:space="0" w:color="000000"/>
              <w:right w:val="single" w:sz="4" w:space="0" w:color="000000"/>
            </w:tcBorders>
          </w:tcPr>
          <w:p w14:paraId="09FD4125" w14:textId="77777777" w:rsidR="00532B9E" w:rsidRDefault="00000000">
            <w:pPr>
              <w:jc w:val="center"/>
            </w:pPr>
            <w:r>
              <w:rPr>
                <w:sz w:val="17"/>
              </w:rPr>
              <w:t>75.2</w:t>
            </w:r>
          </w:p>
        </w:tc>
        <w:tc>
          <w:tcPr>
            <w:tcW w:w="1491" w:type="dxa"/>
            <w:tcBorders>
              <w:top w:val="single" w:sz="4" w:space="0" w:color="000000"/>
              <w:left w:val="single" w:sz="4" w:space="0" w:color="000000"/>
              <w:bottom w:val="single" w:sz="4" w:space="0" w:color="000000"/>
              <w:right w:val="single" w:sz="4" w:space="0" w:color="000000"/>
            </w:tcBorders>
          </w:tcPr>
          <w:p w14:paraId="53B8EBCD" w14:textId="77777777" w:rsidR="00532B9E" w:rsidRDefault="00000000">
            <w:pPr>
              <w:jc w:val="center"/>
            </w:pPr>
            <w:r>
              <w:rPr>
                <w:sz w:val="17"/>
              </w:rPr>
              <w:t>65.2</w:t>
            </w:r>
          </w:p>
        </w:tc>
      </w:tr>
      <w:tr w:rsidR="00532B9E" w14:paraId="35685EDE" w14:textId="77777777">
        <w:trPr>
          <w:jc w:val="center"/>
        </w:trPr>
        <w:tc>
          <w:tcPr>
            <w:tcW w:w="1491" w:type="dxa"/>
            <w:tcBorders>
              <w:top w:val="single" w:sz="4" w:space="0" w:color="000000"/>
              <w:left w:val="single" w:sz="4" w:space="0" w:color="000000"/>
              <w:bottom w:val="single" w:sz="4" w:space="0" w:color="000000"/>
              <w:right w:val="single" w:sz="4" w:space="0" w:color="000000"/>
            </w:tcBorders>
          </w:tcPr>
          <w:p w14:paraId="09FA6836" w14:textId="77777777" w:rsidR="00532B9E" w:rsidRDefault="00000000">
            <w:pPr>
              <w:jc w:val="center"/>
            </w:pPr>
            <w:r>
              <w:rPr>
                <w:sz w:val="17"/>
              </w:rPr>
              <w:t>5-day (proposed)</w:t>
            </w:r>
          </w:p>
        </w:tc>
        <w:tc>
          <w:tcPr>
            <w:tcW w:w="1491" w:type="dxa"/>
            <w:tcBorders>
              <w:top w:val="single" w:sz="4" w:space="0" w:color="000000"/>
              <w:left w:val="single" w:sz="4" w:space="0" w:color="000000"/>
              <w:bottom w:val="single" w:sz="4" w:space="0" w:color="000000"/>
              <w:right w:val="single" w:sz="4" w:space="0" w:color="000000"/>
            </w:tcBorders>
          </w:tcPr>
          <w:p w14:paraId="667C8A40" w14:textId="77777777" w:rsidR="00532B9E" w:rsidRDefault="00000000">
            <w:pPr>
              <w:jc w:val="center"/>
            </w:pPr>
            <w:r>
              <w:rPr>
                <w:sz w:val="17"/>
              </w:rPr>
              <w:t>214</w:t>
            </w:r>
          </w:p>
        </w:tc>
        <w:tc>
          <w:tcPr>
            <w:tcW w:w="1491" w:type="dxa"/>
            <w:tcBorders>
              <w:top w:val="single" w:sz="4" w:space="0" w:color="000000"/>
              <w:left w:val="single" w:sz="4" w:space="0" w:color="000000"/>
              <w:bottom w:val="single" w:sz="4" w:space="0" w:color="000000"/>
              <w:right w:val="single" w:sz="4" w:space="0" w:color="000000"/>
            </w:tcBorders>
          </w:tcPr>
          <w:p w14:paraId="52D0A0A6" w14:textId="77777777" w:rsidR="00532B9E" w:rsidRDefault="00000000">
            <w:pPr>
              <w:jc w:val="center"/>
            </w:pPr>
            <w:r>
              <w:rPr>
                <w:sz w:val="17"/>
              </w:rPr>
              <w:t>53.7</w:t>
            </w:r>
          </w:p>
        </w:tc>
        <w:tc>
          <w:tcPr>
            <w:tcW w:w="1491" w:type="dxa"/>
            <w:tcBorders>
              <w:top w:val="single" w:sz="4" w:space="0" w:color="000000"/>
              <w:left w:val="single" w:sz="4" w:space="0" w:color="000000"/>
              <w:bottom w:val="single" w:sz="4" w:space="0" w:color="000000"/>
              <w:right w:val="single" w:sz="4" w:space="0" w:color="000000"/>
            </w:tcBorders>
          </w:tcPr>
          <w:p w14:paraId="28AFF39F" w14:textId="77777777" w:rsidR="00532B9E" w:rsidRDefault="00000000">
            <w:pPr>
              <w:jc w:val="center"/>
            </w:pPr>
            <w:r>
              <w:rPr>
                <w:sz w:val="17"/>
              </w:rPr>
              <w:t>63.6</w:t>
            </w:r>
          </w:p>
        </w:tc>
        <w:tc>
          <w:tcPr>
            <w:tcW w:w="1491" w:type="dxa"/>
            <w:tcBorders>
              <w:top w:val="single" w:sz="4" w:space="0" w:color="000000"/>
              <w:left w:val="single" w:sz="4" w:space="0" w:color="000000"/>
              <w:bottom w:val="single" w:sz="4" w:space="0" w:color="000000"/>
              <w:right w:val="single" w:sz="4" w:space="0" w:color="000000"/>
            </w:tcBorders>
          </w:tcPr>
          <w:p w14:paraId="0121E326" w14:textId="77777777" w:rsidR="00532B9E" w:rsidRDefault="00000000">
            <w:pPr>
              <w:jc w:val="center"/>
            </w:pPr>
            <w:r>
              <w:rPr>
                <w:sz w:val="17"/>
              </w:rPr>
              <w:t>65.3</w:t>
            </w:r>
          </w:p>
        </w:tc>
        <w:tc>
          <w:tcPr>
            <w:tcW w:w="1491" w:type="dxa"/>
            <w:tcBorders>
              <w:top w:val="single" w:sz="4" w:space="0" w:color="000000"/>
              <w:left w:val="single" w:sz="4" w:space="0" w:color="000000"/>
              <w:bottom w:val="single" w:sz="4" w:space="0" w:color="000000"/>
              <w:right w:val="single" w:sz="4" w:space="0" w:color="000000"/>
            </w:tcBorders>
          </w:tcPr>
          <w:p w14:paraId="0C13C7C1" w14:textId="77777777" w:rsidR="00532B9E" w:rsidRDefault="00000000">
            <w:pPr>
              <w:jc w:val="center"/>
            </w:pPr>
            <w:r>
              <w:rPr>
                <w:sz w:val="17"/>
              </w:rPr>
              <w:t>68.7</w:t>
            </w:r>
          </w:p>
        </w:tc>
        <w:tc>
          <w:tcPr>
            <w:tcW w:w="1491" w:type="dxa"/>
            <w:tcBorders>
              <w:top w:val="single" w:sz="4" w:space="0" w:color="000000"/>
              <w:left w:val="single" w:sz="4" w:space="0" w:color="000000"/>
              <w:bottom w:val="single" w:sz="4" w:space="0" w:color="000000"/>
              <w:right w:val="single" w:sz="4" w:space="0" w:color="000000"/>
            </w:tcBorders>
          </w:tcPr>
          <w:p w14:paraId="6DE2EB43" w14:textId="77777777" w:rsidR="00532B9E" w:rsidRDefault="00000000">
            <w:pPr>
              <w:jc w:val="center"/>
            </w:pPr>
            <w:r>
              <w:rPr>
                <w:sz w:val="17"/>
              </w:rPr>
              <w:t>66.9</w:t>
            </w:r>
          </w:p>
        </w:tc>
      </w:tr>
      <w:tr w:rsidR="00532B9E" w14:paraId="01F0FA91" w14:textId="77777777">
        <w:trPr>
          <w:jc w:val="center"/>
        </w:trPr>
        <w:tc>
          <w:tcPr>
            <w:tcW w:w="1491" w:type="dxa"/>
            <w:tcBorders>
              <w:top w:val="single" w:sz="4" w:space="0" w:color="000000"/>
              <w:left w:val="single" w:sz="4" w:space="0" w:color="000000"/>
              <w:bottom w:val="single" w:sz="4" w:space="0" w:color="000000"/>
              <w:right w:val="single" w:sz="4" w:space="0" w:color="000000"/>
            </w:tcBorders>
          </w:tcPr>
          <w:p w14:paraId="000C2DB7" w14:textId="77777777" w:rsidR="00532B9E" w:rsidRDefault="00000000">
            <w:pPr>
              <w:jc w:val="center"/>
            </w:pPr>
            <w:r>
              <w:rPr>
                <w:sz w:val="17"/>
              </w:rPr>
              <w:t>10-day</w:t>
            </w:r>
          </w:p>
        </w:tc>
        <w:tc>
          <w:tcPr>
            <w:tcW w:w="1491" w:type="dxa"/>
            <w:tcBorders>
              <w:top w:val="single" w:sz="4" w:space="0" w:color="000000"/>
              <w:left w:val="single" w:sz="4" w:space="0" w:color="000000"/>
              <w:bottom w:val="single" w:sz="4" w:space="0" w:color="000000"/>
              <w:right w:val="single" w:sz="4" w:space="0" w:color="000000"/>
            </w:tcBorders>
          </w:tcPr>
          <w:p w14:paraId="6E426865" w14:textId="77777777" w:rsidR="00532B9E" w:rsidRDefault="00000000">
            <w:pPr>
              <w:jc w:val="center"/>
            </w:pPr>
            <w:r>
              <w:rPr>
                <w:sz w:val="17"/>
              </w:rPr>
              <w:t>165</w:t>
            </w:r>
          </w:p>
        </w:tc>
        <w:tc>
          <w:tcPr>
            <w:tcW w:w="1491" w:type="dxa"/>
            <w:tcBorders>
              <w:top w:val="single" w:sz="4" w:space="0" w:color="000000"/>
              <w:left w:val="single" w:sz="4" w:space="0" w:color="000000"/>
              <w:bottom w:val="single" w:sz="4" w:space="0" w:color="000000"/>
              <w:right w:val="single" w:sz="4" w:space="0" w:color="000000"/>
            </w:tcBorders>
          </w:tcPr>
          <w:p w14:paraId="04ABDD43" w14:textId="77777777" w:rsidR="00532B9E" w:rsidRDefault="00000000">
            <w:pPr>
              <w:jc w:val="center"/>
            </w:pPr>
            <w:r>
              <w:rPr>
                <w:sz w:val="17"/>
              </w:rPr>
              <w:t>51.5</w:t>
            </w:r>
          </w:p>
        </w:tc>
        <w:tc>
          <w:tcPr>
            <w:tcW w:w="1491" w:type="dxa"/>
            <w:tcBorders>
              <w:top w:val="single" w:sz="4" w:space="0" w:color="000000"/>
              <w:left w:val="single" w:sz="4" w:space="0" w:color="000000"/>
              <w:bottom w:val="single" w:sz="4" w:space="0" w:color="000000"/>
              <w:right w:val="single" w:sz="4" w:space="0" w:color="000000"/>
            </w:tcBorders>
          </w:tcPr>
          <w:p w14:paraId="50540A1D" w14:textId="77777777" w:rsidR="00532B9E" w:rsidRDefault="00000000">
            <w:pPr>
              <w:jc w:val="center"/>
            </w:pPr>
            <w:r>
              <w:rPr>
                <w:sz w:val="17"/>
              </w:rPr>
              <w:t>61.2</w:t>
            </w:r>
          </w:p>
        </w:tc>
        <w:tc>
          <w:tcPr>
            <w:tcW w:w="1491" w:type="dxa"/>
            <w:tcBorders>
              <w:top w:val="single" w:sz="4" w:space="0" w:color="000000"/>
              <w:left w:val="single" w:sz="4" w:space="0" w:color="000000"/>
              <w:bottom w:val="single" w:sz="4" w:space="0" w:color="000000"/>
              <w:right w:val="single" w:sz="4" w:space="0" w:color="000000"/>
            </w:tcBorders>
          </w:tcPr>
          <w:p w14:paraId="4314CBE8" w14:textId="77777777" w:rsidR="00532B9E" w:rsidRDefault="00000000">
            <w:pPr>
              <w:jc w:val="center"/>
            </w:pPr>
            <w:r>
              <w:rPr>
                <w:sz w:val="17"/>
              </w:rPr>
              <w:t>59.1</w:t>
            </w:r>
          </w:p>
        </w:tc>
        <w:tc>
          <w:tcPr>
            <w:tcW w:w="1491" w:type="dxa"/>
            <w:tcBorders>
              <w:top w:val="single" w:sz="4" w:space="0" w:color="000000"/>
              <w:left w:val="single" w:sz="4" w:space="0" w:color="000000"/>
              <w:bottom w:val="single" w:sz="4" w:space="0" w:color="000000"/>
              <w:right w:val="single" w:sz="4" w:space="0" w:color="000000"/>
            </w:tcBorders>
          </w:tcPr>
          <w:p w14:paraId="0FDF672A" w14:textId="77777777" w:rsidR="00532B9E" w:rsidRDefault="00000000">
            <w:pPr>
              <w:jc w:val="center"/>
            </w:pPr>
            <w:r>
              <w:rPr>
                <w:sz w:val="17"/>
              </w:rPr>
              <w:t>80.0</w:t>
            </w:r>
          </w:p>
        </w:tc>
        <w:tc>
          <w:tcPr>
            <w:tcW w:w="1491" w:type="dxa"/>
            <w:tcBorders>
              <w:top w:val="single" w:sz="4" w:space="0" w:color="000000"/>
              <w:left w:val="single" w:sz="4" w:space="0" w:color="000000"/>
              <w:bottom w:val="single" w:sz="4" w:space="0" w:color="000000"/>
              <w:right w:val="single" w:sz="4" w:space="0" w:color="000000"/>
            </w:tcBorders>
          </w:tcPr>
          <w:p w14:paraId="08856E9C" w14:textId="77777777" w:rsidR="00532B9E" w:rsidRDefault="00000000">
            <w:pPr>
              <w:jc w:val="center"/>
            </w:pPr>
            <w:r>
              <w:rPr>
                <w:sz w:val="17"/>
              </w:rPr>
              <w:t>68.0</w:t>
            </w:r>
          </w:p>
        </w:tc>
      </w:tr>
    </w:tbl>
    <w:p w14:paraId="14C94061" w14:textId="77777777" w:rsidR="00532B9E" w:rsidRDefault="00532B9E"/>
    <w:p w14:paraId="24C15F12" w14:textId="77777777" w:rsidR="00D32B9C" w:rsidRDefault="00D32B9C">
      <w:pPr>
        <w:spacing w:before="160" w:after="80"/>
        <w:rPr>
          <w:sz w:val="21"/>
        </w:rPr>
      </w:pPr>
      <w:r w:rsidRPr="00D32B9C">
        <w:rPr>
          <w:sz w:val="21"/>
        </w:rPr>
        <w:t>Under the extended 14-ticker universe, the 3- and 5-day horizons prove optimal, as revealed by the accuracy analysis. First, the 1-day window yielded a reasonably low accuracy (60.7% Acc) due to the substantial noise in short-horizon trading. At the same time, 10-day accuracy (61.2% Acc) dropped due to mean reversion and sentiment reversal compared to the 5-day maximum.</w:t>
      </w:r>
    </w:p>
    <w:p w14:paraId="27210B2C" w14:textId="0C1535E6" w:rsidR="00532B9E" w:rsidRDefault="00000000">
      <w:pPr>
        <w:spacing w:before="160" w:after="80"/>
      </w:pPr>
      <w:r>
        <w:rPr>
          <w:b/>
          <w:i/>
          <w:sz w:val="23"/>
        </w:rPr>
        <w:t>H. Ablation Study</w:t>
      </w:r>
    </w:p>
    <w:p w14:paraId="39B65D45" w14:textId="47C8858A" w:rsidR="00532B9E" w:rsidRDefault="00000000">
      <w:r>
        <w:rPr>
          <w:sz w:val="21"/>
        </w:rPr>
        <w:t xml:space="preserve">To quantify each component’s contribution, systematic ablation studies were </w:t>
      </w:r>
      <w:r w:rsidR="00D32B9C">
        <w:rPr>
          <w:sz w:val="21"/>
        </w:rPr>
        <w:t>performed</w:t>
      </w:r>
      <w:r>
        <w:rPr>
          <w:sz w:val="21"/>
        </w:rPr>
        <w:t xml:space="preserve"> against a baseline full model accuracy of 61.5%:</w:t>
      </w:r>
    </w:p>
    <w:p w14:paraId="2424E215" w14:textId="77777777" w:rsidR="00532B9E" w:rsidRDefault="00000000">
      <w:pPr>
        <w:spacing w:before="120" w:after="40"/>
        <w:jc w:val="center"/>
      </w:pPr>
      <w:r>
        <w:rPr>
          <w:b/>
          <w:sz w:val="18"/>
        </w:rPr>
        <w:t>TABLE VII. Ablation Study Results (50-Ticker Dataset)</w:t>
      </w:r>
    </w:p>
    <w:tbl>
      <w:tblPr>
        <w:tblW w:w="0" w:type="auto"/>
        <w:jc w:val="center"/>
        <w:tblLook w:val="04A0" w:firstRow="1" w:lastRow="0" w:firstColumn="1" w:lastColumn="0" w:noHBand="0" w:noVBand="1"/>
      </w:tblPr>
      <w:tblGrid>
        <w:gridCol w:w="1526"/>
        <w:gridCol w:w="1254"/>
        <w:gridCol w:w="1028"/>
        <w:gridCol w:w="1254"/>
      </w:tblGrid>
      <w:tr w:rsidR="00532B9E" w14:paraId="4FC69489" w14:textId="77777777">
        <w:trPr>
          <w:jc w:val="center"/>
        </w:trPr>
        <w:tc>
          <w:tcPr>
            <w:tcW w:w="2610" w:type="dxa"/>
            <w:tcBorders>
              <w:top w:val="single" w:sz="6" w:space="0" w:color="000000"/>
              <w:left w:val="single" w:sz="6" w:space="0" w:color="000000"/>
              <w:bottom w:val="single" w:sz="6" w:space="0" w:color="000000"/>
              <w:right w:val="single" w:sz="6" w:space="0" w:color="000000"/>
            </w:tcBorders>
            <w:shd w:val="clear" w:color="auto" w:fill="D9E2F3"/>
          </w:tcPr>
          <w:p w14:paraId="3601F414" w14:textId="77777777" w:rsidR="00532B9E" w:rsidRDefault="00000000">
            <w:pPr>
              <w:jc w:val="center"/>
            </w:pPr>
            <w:r>
              <w:rPr>
                <w:b/>
                <w:sz w:val="17"/>
              </w:rPr>
              <w:t>Configuration</w:t>
            </w:r>
          </w:p>
        </w:tc>
        <w:tc>
          <w:tcPr>
            <w:tcW w:w="2610" w:type="dxa"/>
            <w:tcBorders>
              <w:top w:val="single" w:sz="6" w:space="0" w:color="000000"/>
              <w:left w:val="single" w:sz="6" w:space="0" w:color="000000"/>
              <w:bottom w:val="single" w:sz="6" w:space="0" w:color="000000"/>
              <w:right w:val="single" w:sz="6" w:space="0" w:color="000000"/>
            </w:tcBorders>
            <w:shd w:val="clear" w:color="auto" w:fill="D9E2F3"/>
          </w:tcPr>
          <w:p w14:paraId="03FD82CE" w14:textId="77777777" w:rsidR="00532B9E" w:rsidRDefault="00000000">
            <w:pPr>
              <w:jc w:val="center"/>
            </w:pPr>
            <w:r>
              <w:rPr>
                <w:b/>
                <w:sz w:val="17"/>
              </w:rPr>
              <w:t>Accuracy (%)</w:t>
            </w:r>
          </w:p>
        </w:tc>
        <w:tc>
          <w:tcPr>
            <w:tcW w:w="2610" w:type="dxa"/>
            <w:tcBorders>
              <w:top w:val="single" w:sz="6" w:space="0" w:color="000000"/>
              <w:left w:val="single" w:sz="6" w:space="0" w:color="000000"/>
              <w:bottom w:val="single" w:sz="6" w:space="0" w:color="000000"/>
              <w:right w:val="single" w:sz="6" w:space="0" w:color="000000"/>
            </w:tcBorders>
            <w:shd w:val="clear" w:color="auto" w:fill="D9E2F3"/>
          </w:tcPr>
          <w:p w14:paraId="2F8FBCA7" w14:textId="77777777" w:rsidR="00532B9E" w:rsidRDefault="00000000">
            <w:pPr>
              <w:jc w:val="center"/>
            </w:pPr>
            <w:r>
              <w:rPr>
                <w:b/>
                <w:sz w:val="17"/>
              </w:rPr>
              <w:t>F1-Score (%)</w:t>
            </w:r>
          </w:p>
        </w:tc>
        <w:tc>
          <w:tcPr>
            <w:tcW w:w="2610" w:type="dxa"/>
            <w:tcBorders>
              <w:top w:val="single" w:sz="6" w:space="0" w:color="000000"/>
              <w:left w:val="single" w:sz="6" w:space="0" w:color="000000"/>
              <w:bottom w:val="single" w:sz="6" w:space="0" w:color="000000"/>
              <w:right w:val="single" w:sz="6" w:space="0" w:color="000000"/>
            </w:tcBorders>
            <w:shd w:val="clear" w:color="auto" w:fill="D9E2F3"/>
          </w:tcPr>
          <w:p w14:paraId="384525C4" w14:textId="77777777" w:rsidR="00532B9E" w:rsidRDefault="00000000">
            <w:pPr>
              <w:jc w:val="center"/>
            </w:pPr>
            <w:r>
              <w:rPr>
                <w:b/>
                <w:sz w:val="17"/>
              </w:rPr>
              <w:t>Accuracy Drop</w:t>
            </w:r>
          </w:p>
        </w:tc>
      </w:tr>
      <w:tr w:rsidR="00532B9E" w14:paraId="50FC730A" w14:textId="77777777">
        <w:trPr>
          <w:jc w:val="center"/>
        </w:trPr>
        <w:tc>
          <w:tcPr>
            <w:tcW w:w="2610" w:type="dxa"/>
            <w:tcBorders>
              <w:top w:val="single" w:sz="4" w:space="0" w:color="000000"/>
              <w:left w:val="single" w:sz="4" w:space="0" w:color="000000"/>
              <w:bottom w:val="single" w:sz="4" w:space="0" w:color="000000"/>
              <w:right w:val="single" w:sz="4" w:space="0" w:color="000000"/>
            </w:tcBorders>
          </w:tcPr>
          <w:p w14:paraId="103D3ECA" w14:textId="77777777" w:rsidR="00532B9E" w:rsidRDefault="00000000">
            <w:pPr>
              <w:jc w:val="center"/>
            </w:pPr>
            <w:r>
              <w:rPr>
                <w:sz w:val="17"/>
              </w:rPr>
              <w:t>Full Stacking Ensemble</w:t>
            </w:r>
          </w:p>
        </w:tc>
        <w:tc>
          <w:tcPr>
            <w:tcW w:w="2610" w:type="dxa"/>
            <w:tcBorders>
              <w:top w:val="single" w:sz="4" w:space="0" w:color="000000"/>
              <w:left w:val="single" w:sz="4" w:space="0" w:color="000000"/>
              <w:bottom w:val="single" w:sz="4" w:space="0" w:color="000000"/>
              <w:right w:val="single" w:sz="4" w:space="0" w:color="000000"/>
            </w:tcBorders>
          </w:tcPr>
          <w:p w14:paraId="189E77E5" w14:textId="77777777" w:rsidR="00532B9E" w:rsidRDefault="00000000">
            <w:pPr>
              <w:jc w:val="center"/>
            </w:pPr>
            <w:r>
              <w:rPr>
                <w:sz w:val="17"/>
              </w:rPr>
              <w:t>61.5</w:t>
            </w:r>
          </w:p>
        </w:tc>
        <w:tc>
          <w:tcPr>
            <w:tcW w:w="2610" w:type="dxa"/>
            <w:tcBorders>
              <w:top w:val="single" w:sz="4" w:space="0" w:color="000000"/>
              <w:left w:val="single" w:sz="4" w:space="0" w:color="000000"/>
              <w:bottom w:val="single" w:sz="4" w:space="0" w:color="000000"/>
              <w:right w:val="single" w:sz="4" w:space="0" w:color="000000"/>
            </w:tcBorders>
          </w:tcPr>
          <w:p w14:paraId="126A3BA0" w14:textId="77777777" w:rsidR="00532B9E" w:rsidRDefault="00000000">
            <w:pPr>
              <w:jc w:val="center"/>
            </w:pPr>
            <w:r>
              <w:rPr>
                <w:sz w:val="17"/>
              </w:rPr>
              <w:t>62.5</w:t>
            </w:r>
          </w:p>
        </w:tc>
        <w:tc>
          <w:tcPr>
            <w:tcW w:w="2610" w:type="dxa"/>
            <w:tcBorders>
              <w:top w:val="single" w:sz="4" w:space="0" w:color="000000"/>
              <w:left w:val="single" w:sz="4" w:space="0" w:color="000000"/>
              <w:bottom w:val="single" w:sz="4" w:space="0" w:color="000000"/>
              <w:right w:val="single" w:sz="4" w:space="0" w:color="000000"/>
            </w:tcBorders>
          </w:tcPr>
          <w:p w14:paraId="107E1BC8" w14:textId="77777777" w:rsidR="00532B9E" w:rsidRDefault="00000000">
            <w:pPr>
              <w:jc w:val="center"/>
            </w:pPr>
            <w:r>
              <w:rPr>
                <w:sz w:val="17"/>
              </w:rPr>
              <w:t>—</w:t>
            </w:r>
          </w:p>
        </w:tc>
      </w:tr>
      <w:tr w:rsidR="00532B9E" w14:paraId="77C51B79" w14:textId="77777777">
        <w:trPr>
          <w:jc w:val="center"/>
        </w:trPr>
        <w:tc>
          <w:tcPr>
            <w:tcW w:w="2610" w:type="dxa"/>
            <w:tcBorders>
              <w:top w:val="single" w:sz="4" w:space="0" w:color="000000"/>
              <w:left w:val="single" w:sz="4" w:space="0" w:color="000000"/>
              <w:bottom w:val="single" w:sz="4" w:space="0" w:color="000000"/>
              <w:right w:val="single" w:sz="4" w:space="0" w:color="000000"/>
            </w:tcBorders>
          </w:tcPr>
          <w:p w14:paraId="7FD626FD" w14:textId="77777777" w:rsidR="00532B9E" w:rsidRDefault="00000000">
            <w:pPr>
              <w:jc w:val="center"/>
            </w:pPr>
            <w:r>
              <w:rPr>
                <w:sz w:val="17"/>
              </w:rPr>
              <w:t>w/o NLP Sentiment Features</w:t>
            </w:r>
          </w:p>
        </w:tc>
        <w:tc>
          <w:tcPr>
            <w:tcW w:w="2610" w:type="dxa"/>
            <w:tcBorders>
              <w:top w:val="single" w:sz="4" w:space="0" w:color="000000"/>
              <w:left w:val="single" w:sz="4" w:space="0" w:color="000000"/>
              <w:bottom w:val="single" w:sz="4" w:space="0" w:color="000000"/>
              <w:right w:val="single" w:sz="4" w:space="0" w:color="000000"/>
            </w:tcBorders>
          </w:tcPr>
          <w:p w14:paraId="55A2A860" w14:textId="77777777" w:rsidR="00532B9E" w:rsidRDefault="00000000">
            <w:pPr>
              <w:jc w:val="center"/>
            </w:pPr>
            <w:r>
              <w:rPr>
                <w:sz w:val="17"/>
              </w:rPr>
              <w:t>55.2</w:t>
            </w:r>
          </w:p>
        </w:tc>
        <w:tc>
          <w:tcPr>
            <w:tcW w:w="2610" w:type="dxa"/>
            <w:tcBorders>
              <w:top w:val="single" w:sz="4" w:space="0" w:color="000000"/>
              <w:left w:val="single" w:sz="4" w:space="0" w:color="000000"/>
              <w:bottom w:val="single" w:sz="4" w:space="0" w:color="000000"/>
              <w:right w:val="single" w:sz="4" w:space="0" w:color="000000"/>
            </w:tcBorders>
          </w:tcPr>
          <w:p w14:paraId="5C225D70" w14:textId="77777777" w:rsidR="00532B9E" w:rsidRDefault="00000000">
            <w:pPr>
              <w:jc w:val="center"/>
            </w:pPr>
            <w:r>
              <w:rPr>
                <w:sz w:val="17"/>
              </w:rPr>
              <w:t>68.0</w:t>
            </w:r>
          </w:p>
        </w:tc>
        <w:tc>
          <w:tcPr>
            <w:tcW w:w="2610" w:type="dxa"/>
            <w:tcBorders>
              <w:top w:val="single" w:sz="4" w:space="0" w:color="000000"/>
              <w:left w:val="single" w:sz="4" w:space="0" w:color="000000"/>
              <w:bottom w:val="single" w:sz="4" w:space="0" w:color="000000"/>
              <w:right w:val="single" w:sz="4" w:space="0" w:color="000000"/>
            </w:tcBorders>
          </w:tcPr>
          <w:p w14:paraId="2D67877A" w14:textId="77777777" w:rsidR="00532B9E" w:rsidRDefault="00000000">
            <w:pPr>
              <w:jc w:val="center"/>
            </w:pPr>
            <w:r>
              <w:rPr>
                <w:sz w:val="17"/>
              </w:rPr>
              <w:t>−6.3 pp</w:t>
            </w:r>
          </w:p>
        </w:tc>
      </w:tr>
      <w:tr w:rsidR="00532B9E" w14:paraId="6F41D272" w14:textId="77777777">
        <w:trPr>
          <w:jc w:val="center"/>
        </w:trPr>
        <w:tc>
          <w:tcPr>
            <w:tcW w:w="2610" w:type="dxa"/>
            <w:tcBorders>
              <w:top w:val="single" w:sz="4" w:space="0" w:color="000000"/>
              <w:left w:val="single" w:sz="4" w:space="0" w:color="000000"/>
              <w:bottom w:val="single" w:sz="4" w:space="0" w:color="000000"/>
              <w:right w:val="single" w:sz="4" w:space="0" w:color="000000"/>
            </w:tcBorders>
          </w:tcPr>
          <w:p w14:paraId="5FBBEE16" w14:textId="77777777" w:rsidR="00532B9E" w:rsidRDefault="00000000">
            <w:pPr>
              <w:jc w:val="center"/>
            </w:pPr>
            <w:r>
              <w:rPr>
                <w:sz w:val="17"/>
              </w:rPr>
              <w:lastRenderedPageBreak/>
              <w:t>w/o GARCH Volatility</w:t>
            </w:r>
          </w:p>
        </w:tc>
        <w:tc>
          <w:tcPr>
            <w:tcW w:w="2610" w:type="dxa"/>
            <w:tcBorders>
              <w:top w:val="single" w:sz="4" w:space="0" w:color="000000"/>
              <w:left w:val="single" w:sz="4" w:space="0" w:color="000000"/>
              <w:bottom w:val="single" w:sz="4" w:space="0" w:color="000000"/>
              <w:right w:val="single" w:sz="4" w:space="0" w:color="000000"/>
            </w:tcBorders>
          </w:tcPr>
          <w:p w14:paraId="47A9A905" w14:textId="77777777" w:rsidR="00532B9E" w:rsidRDefault="00000000">
            <w:pPr>
              <w:jc w:val="center"/>
            </w:pPr>
            <w:r>
              <w:rPr>
                <w:sz w:val="17"/>
              </w:rPr>
              <w:t>53.2</w:t>
            </w:r>
          </w:p>
        </w:tc>
        <w:tc>
          <w:tcPr>
            <w:tcW w:w="2610" w:type="dxa"/>
            <w:tcBorders>
              <w:top w:val="single" w:sz="4" w:space="0" w:color="000000"/>
              <w:left w:val="single" w:sz="4" w:space="0" w:color="000000"/>
              <w:bottom w:val="single" w:sz="4" w:space="0" w:color="000000"/>
              <w:right w:val="single" w:sz="4" w:space="0" w:color="000000"/>
            </w:tcBorders>
          </w:tcPr>
          <w:p w14:paraId="52C5F54A" w14:textId="77777777" w:rsidR="00532B9E" w:rsidRDefault="00000000">
            <w:pPr>
              <w:jc w:val="center"/>
            </w:pPr>
            <w:r>
              <w:rPr>
                <w:sz w:val="17"/>
              </w:rPr>
              <w:t>68.8</w:t>
            </w:r>
          </w:p>
        </w:tc>
        <w:tc>
          <w:tcPr>
            <w:tcW w:w="2610" w:type="dxa"/>
            <w:tcBorders>
              <w:top w:val="single" w:sz="4" w:space="0" w:color="000000"/>
              <w:left w:val="single" w:sz="4" w:space="0" w:color="000000"/>
              <w:bottom w:val="single" w:sz="4" w:space="0" w:color="000000"/>
              <w:right w:val="single" w:sz="4" w:space="0" w:color="000000"/>
            </w:tcBorders>
          </w:tcPr>
          <w:p w14:paraId="0F5FF4DF" w14:textId="77777777" w:rsidR="00532B9E" w:rsidRDefault="00000000">
            <w:pPr>
              <w:jc w:val="center"/>
            </w:pPr>
            <w:r>
              <w:rPr>
                <w:sz w:val="17"/>
              </w:rPr>
              <w:t>−8.3 pp</w:t>
            </w:r>
          </w:p>
        </w:tc>
      </w:tr>
      <w:tr w:rsidR="00532B9E" w14:paraId="5668CA00" w14:textId="77777777">
        <w:trPr>
          <w:jc w:val="center"/>
        </w:trPr>
        <w:tc>
          <w:tcPr>
            <w:tcW w:w="2610" w:type="dxa"/>
            <w:tcBorders>
              <w:top w:val="single" w:sz="4" w:space="0" w:color="000000"/>
              <w:left w:val="single" w:sz="4" w:space="0" w:color="000000"/>
              <w:bottom w:val="single" w:sz="4" w:space="0" w:color="000000"/>
              <w:right w:val="single" w:sz="4" w:space="0" w:color="000000"/>
            </w:tcBorders>
          </w:tcPr>
          <w:p w14:paraId="4B334B89" w14:textId="77777777" w:rsidR="00532B9E" w:rsidRDefault="00000000">
            <w:pPr>
              <w:jc w:val="center"/>
            </w:pPr>
            <w:r>
              <w:rPr>
                <w:sz w:val="17"/>
              </w:rPr>
              <w:t>w/o Regime Routing</w:t>
            </w:r>
          </w:p>
        </w:tc>
        <w:tc>
          <w:tcPr>
            <w:tcW w:w="2610" w:type="dxa"/>
            <w:tcBorders>
              <w:top w:val="single" w:sz="4" w:space="0" w:color="000000"/>
              <w:left w:val="single" w:sz="4" w:space="0" w:color="000000"/>
              <w:bottom w:val="single" w:sz="4" w:space="0" w:color="000000"/>
              <w:right w:val="single" w:sz="4" w:space="0" w:color="000000"/>
            </w:tcBorders>
          </w:tcPr>
          <w:p w14:paraId="09E5A4CF" w14:textId="77777777" w:rsidR="00532B9E" w:rsidRDefault="00000000">
            <w:pPr>
              <w:jc w:val="center"/>
            </w:pPr>
            <w:r>
              <w:rPr>
                <w:sz w:val="17"/>
              </w:rPr>
              <w:t>54.0</w:t>
            </w:r>
          </w:p>
        </w:tc>
        <w:tc>
          <w:tcPr>
            <w:tcW w:w="2610" w:type="dxa"/>
            <w:tcBorders>
              <w:top w:val="single" w:sz="4" w:space="0" w:color="000000"/>
              <w:left w:val="single" w:sz="4" w:space="0" w:color="000000"/>
              <w:bottom w:val="single" w:sz="4" w:space="0" w:color="000000"/>
              <w:right w:val="single" w:sz="4" w:space="0" w:color="000000"/>
            </w:tcBorders>
          </w:tcPr>
          <w:p w14:paraId="49F04B1A" w14:textId="77777777" w:rsidR="00532B9E" w:rsidRDefault="00000000">
            <w:pPr>
              <w:jc w:val="center"/>
            </w:pPr>
            <w:r>
              <w:rPr>
                <w:sz w:val="17"/>
              </w:rPr>
              <w:t>67.6</w:t>
            </w:r>
          </w:p>
        </w:tc>
        <w:tc>
          <w:tcPr>
            <w:tcW w:w="2610" w:type="dxa"/>
            <w:tcBorders>
              <w:top w:val="single" w:sz="4" w:space="0" w:color="000000"/>
              <w:left w:val="single" w:sz="4" w:space="0" w:color="000000"/>
              <w:bottom w:val="single" w:sz="4" w:space="0" w:color="000000"/>
              <w:right w:val="single" w:sz="4" w:space="0" w:color="000000"/>
            </w:tcBorders>
          </w:tcPr>
          <w:p w14:paraId="227DFD3D" w14:textId="77777777" w:rsidR="00532B9E" w:rsidRDefault="00000000">
            <w:pPr>
              <w:jc w:val="center"/>
            </w:pPr>
            <w:r>
              <w:rPr>
                <w:sz w:val="17"/>
              </w:rPr>
              <w:t>−7.5 pp</w:t>
            </w:r>
          </w:p>
        </w:tc>
      </w:tr>
    </w:tbl>
    <w:p w14:paraId="0D1A4EB9" w14:textId="77777777" w:rsidR="00532B9E" w:rsidRDefault="00532B9E"/>
    <w:p w14:paraId="75DA86D5" w14:textId="77777777" w:rsidR="00D32B9C" w:rsidRPr="00D32B9C" w:rsidRDefault="00D32B9C" w:rsidP="00D32B9C">
      <w:pPr>
        <w:spacing w:before="160" w:after="80"/>
        <w:rPr>
          <w:sz w:val="21"/>
        </w:rPr>
      </w:pPr>
      <w:r w:rsidRPr="00D32B9C">
        <w:rPr>
          <w:sz w:val="21"/>
        </w:rPr>
        <w:t>The ablation results for the 50-ticker set are markedly different than those in the small-sample regime. For the models trained on sufficient data, all considered components contribute significantly to the accuracy. In particular, removing GARCH Volatility leads to an 8.3 p.p. accuracy drop, which is an especially significant decrease. Regime routing and NLP sentiment, when removed, lead to a 7.5 p.p. and 6.3 p.p. accuracy drops, respectively.</w:t>
      </w:r>
    </w:p>
    <w:p w14:paraId="2ED4621C" w14:textId="77777777" w:rsidR="00FB5ED3" w:rsidRDefault="00FB5ED3" w:rsidP="00D32B9C">
      <w:pPr>
        <w:spacing w:before="160" w:after="80"/>
        <w:rPr>
          <w:sz w:val="21"/>
        </w:rPr>
      </w:pPr>
      <w:r w:rsidRPr="00FB5ED3">
        <w:rPr>
          <w:sz w:val="21"/>
        </w:rPr>
        <w:t>An especially enlightening observation, is that by the same token, Accuracy is heavily compromised compared to the F1-Score. In particular, upon removal of critical information (NLP Sentiment or GARCH Volatility), the Rank-Blend Meta-</w:t>
      </w:r>
      <w:proofErr w:type="gramStart"/>
      <w:r w:rsidRPr="00FB5ED3">
        <w:rPr>
          <w:sz w:val="21"/>
        </w:rPr>
        <w:t>Learner ”compensates</w:t>
      </w:r>
      <w:proofErr w:type="gramEnd"/>
      <w:r w:rsidRPr="00FB5ED3">
        <w:rPr>
          <w:sz w:val="21"/>
        </w:rPr>
        <w:t xml:space="preserve">” through an extreme threshold shift, in order to obtain maximum recall. While the F1-Score indeed benefits massively (+68.8%), Precision, as well as by extension Accuracy, are severely penalized. This highlights the importance of the investigated feature pipelines, as </w:t>
      </w:r>
      <w:proofErr w:type="spellStart"/>
      <w:r w:rsidRPr="00FB5ED3">
        <w:rPr>
          <w:sz w:val="21"/>
        </w:rPr>
        <w:t>regularizers</w:t>
      </w:r>
      <w:proofErr w:type="spellEnd"/>
      <w:r w:rsidRPr="00FB5ED3">
        <w:rPr>
          <w:sz w:val="21"/>
        </w:rPr>
        <w:t xml:space="preserve"> for the Rank-Blend Meta-Learner; reducing the probability of falsely triggered positives.</w:t>
      </w:r>
    </w:p>
    <w:p w14:paraId="3BC451E6" w14:textId="5ECE63B8" w:rsidR="00532B9E" w:rsidRDefault="00000000" w:rsidP="00D32B9C">
      <w:pPr>
        <w:spacing w:before="160" w:after="80"/>
      </w:pPr>
      <w:r>
        <w:rPr>
          <w:b/>
          <w:i/>
          <w:sz w:val="23"/>
        </w:rPr>
        <w:t>I. Sentiment Analysis</w:t>
      </w:r>
    </w:p>
    <w:p w14:paraId="43E7B7B7" w14:textId="77777777" w:rsidR="00D32B9C" w:rsidRDefault="00D32B9C" w:rsidP="00FB5ED3">
      <w:pPr>
        <w:spacing w:before="120" w:after="40"/>
        <w:rPr>
          <w:sz w:val="21"/>
        </w:rPr>
      </w:pPr>
      <w:r w:rsidRPr="00D32B9C">
        <w:rPr>
          <w:sz w:val="21"/>
        </w:rPr>
        <w:t xml:space="preserve">The sentiment overlay visualizes the hybrid VADER + </w:t>
      </w:r>
      <w:proofErr w:type="spellStart"/>
      <w:r w:rsidRPr="00D32B9C">
        <w:rPr>
          <w:sz w:val="21"/>
        </w:rPr>
        <w:t>FinBERT</w:t>
      </w:r>
      <w:proofErr w:type="spellEnd"/>
      <w:r w:rsidRPr="00D32B9C">
        <w:rPr>
          <w:sz w:val="21"/>
        </w:rPr>
        <w:t xml:space="preserve"> pipeline's performance on the market direction during the period under consideration. This overlay superimposes real-time sentiment (extracted on the current day) and historical price data:</w:t>
      </w:r>
    </w:p>
    <w:p w14:paraId="4A631B78" w14:textId="52C0A787" w:rsidR="00532B9E" w:rsidRDefault="00000000">
      <w:pPr>
        <w:spacing w:before="120" w:after="40"/>
        <w:jc w:val="center"/>
      </w:pPr>
      <w:r>
        <w:rPr>
          <w:noProof/>
        </w:rPr>
        <w:drawing>
          <wp:inline distT="0" distB="0" distL="0" distR="0" wp14:anchorId="1A35C457" wp14:editId="1BB9F2CF">
            <wp:extent cx="2743200" cy="10080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NCE.NS_sentiment_overlay.png"/>
                    <pic:cNvPicPr/>
                  </pic:nvPicPr>
                  <pic:blipFill>
                    <a:blip r:embed="rId14"/>
                    <a:stretch>
                      <a:fillRect/>
                    </a:stretch>
                  </pic:blipFill>
                  <pic:spPr>
                    <a:xfrm>
                      <a:off x="0" y="0"/>
                      <a:ext cx="2743200" cy="1008008"/>
                    </a:xfrm>
                    <a:prstGeom prst="rect">
                      <a:avLst/>
                    </a:prstGeom>
                  </pic:spPr>
                </pic:pic>
              </a:graphicData>
            </a:graphic>
          </wp:inline>
        </w:drawing>
      </w:r>
    </w:p>
    <w:p w14:paraId="5721B750" w14:textId="77777777" w:rsidR="00532B9E" w:rsidRDefault="00000000">
      <w:pPr>
        <w:spacing w:before="40" w:after="120"/>
        <w:jc w:val="center"/>
      </w:pPr>
      <w:r>
        <w:rPr>
          <w:i/>
          <w:sz w:val="18"/>
        </w:rPr>
        <w:t>Fig. 9. RELIANCE.NS sentiment overlay: daily FinBERT+VADER blended sentiment score (orange) vs. closing price (blue). Sentiment leads price inflections at major turning points.</w:t>
      </w:r>
    </w:p>
    <w:p w14:paraId="43826768" w14:textId="77777777" w:rsidR="00532B9E" w:rsidRDefault="00000000">
      <w:pPr>
        <w:spacing w:before="160" w:after="80"/>
      </w:pPr>
      <w:r>
        <w:rPr>
          <w:b/>
          <w:i/>
          <w:sz w:val="23"/>
        </w:rPr>
        <w:t>J. Cross-Asset Generalizability</w:t>
      </w:r>
    </w:p>
    <w:p w14:paraId="4565ABA8" w14:textId="77777777" w:rsidR="00D32B9C" w:rsidRDefault="00D32B9C" w:rsidP="00D32B9C">
      <w:pPr>
        <w:spacing w:before="120" w:after="40"/>
        <w:rPr>
          <w:sz w:val="21"/>
        </w:rPr>
      </w:pPr>
      <w:r w:rsidRPr="00D32B9C">
        <w:rPr>
          <w:sz w:val="21"/>
        </w:rPr>
        <w:t xml:space="preserve">To evaluate the generalization beyond the main assessment ticker, the ensemble was tested on three different markets and assets. Apple Inc. (AAPL) was included to ensure that the volatility-adaptive framework and market regime detection </w:t>
      </w:r>
      <w:r w:rsidRPr="00D32B9C">
        <w:rPr>
          <w:sz w:val="21"/>
        </w:rPr>
        <w:t>carry to a different macroeconomic environment (i.e., NASDAQ) unrelated to the Indian stock market.</w:t>
      </w:r>
    </w:p>
    <w:p w14:paraId="4CE81CDD" w14:textId="6AD9ECFE" w:rsidR="00532B9E" w:rsidRDefault="00000000">
      <w:pPr>
        <w:spacing w:before="120" w:after="40"/>
        <w:jc w:val="center"/>
      </w:pPr>
      <w:r>
        <w:rPr>
          <w:b/>
          <w:sz w:val="18"/>
        </w:rPr>
        <w:t>TABLE VIII. Cross-Asset Generalizability (Walk-Forward OOS Results)</w:t>
      </w:r>
    </w:p>
    <w:tbl>
      <w:tblPr>
        <w:tblW w:w="0" w:type="auto"/>
        <w:jc w:val="center"/>
        <w:tblLook w:val="04A0" w:firstRow="1" w:lastRow="0" w:firstColumn="1" w:lastColumn="0" w:noHBand="0" w:noVBand="1"/>
      </w:tblPr>
      <w:tblGrid>
        <w:gridCol w:w="1092"/>
        <w:gridCol w:w="1500"/>
        <w:gridCol w:w="709"/>
        <w:gridCol w:w="629"/>
        <w:gridCol w:w="566"/>
        <w:gridCol w:w="566"/>
      </w:tblGrid>
      <w:tr w:rsidR="00532B9E" w14:paraId="2A86B5DB" w14:textId="77777777">
        <w:trPr>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E2F3"/>
          </w:tcPr>
          <w:p w14:paraId="7FA8374D" w14:textId="77777777" w:rsidR="00532B9E" w:rsidRDefault="00000000">
            <w:pPr>
              <w:jc w:val="center"/>
            </w:pPr>
            <w:r>
              <w:rPr>
                <w:b/>
                <w:sz w:val="17"/>
              </w:rPr>
              <w:t>Ticker</w:t>
            </w:r>
          </w:p>
        </w:tc>
        <w:tc>
          <w:tcPr>
            <w:tcW w:w="1740" w:type="dxa"/>
            <w:tcBorders>
              <w:top w:val="single" w:sz="6" w:space="0" w:color="000000"/>
              <w:left w:val="single" w:sz="6" w:space="0" w:color="000000"/>
              <w:bottom w:val="single" w:sz="6" w:space="0" w:color="000000"/>
              <w:right w:val="single" w:sz="6" w:space="0" w:color="000000"/>
            </w:tcBorders>
            <w:shd w:val="clear" w:color="auto" w:fill="D9E2F3"/>
          </w:tcPr>
          <w:p w14:paraId="735E9030" w14:textId="77777777" w:rsidR="00532B9E" w:rsidRDefault="00000000">
            <w:pPr>
              <w:jc w:val="center"/>
            </w:pPr>
            <w:r>
              <w:rPr>
                <w:b/>
                <w:sz w:val="17"/>
              </w:rPr>
              <w:t>Market</w:t>
            </w:r>
          </w:p>
        </w:tc>
        <w:tc>
          <w:tcPr>
            <w:tcW w:w="1740" w:type="dxa"/>
            <w:tcBorders>
              <w:top w:val="single" w:sz="6" w:space="0" w:color="000000"/>
              <w:left w:val="single" w:sz="6" w:space="0" w:color="000000"/>
              <w:bottom w:val="single" w:sz="6" w:space="0" w:color="000000"/>
              <w:right w:val="single" w:sz="6" w:space="0" w:color="000000"/>
            </w:tcBorders>
            <w:shd w:val="clear" w:color="auto" w:fill="D9E2F3"/>
          </w:tcPr>
          <w:p w14:paraId="0DCE6E29" w14:textId="77777777" w:rsidR="00532B9E" w:rsidRDefault="00000000">
            <w:pPr>
              <w:jc w:val="center"/>
            </w:pPr>
            <w:r>
              <w:rPr>
                <w:b/>
                <w:sz w:val="17"/>
              </w:rPr>
              <w:t>Total Return</w:t>
            </w:r>
          </w:p>
        </w:tc>
        <w:tc>
          <w:tcPr>
            <w:tcW w:w="1740" w:type="dxa"/>
            <w:tcBorders>
              <w:top w:val="single" w:sz="6" w:space="0" w:color="000000"/>
              <w:left w:val="single" w:sz="6" w:space="0" w:color="000000"/>
              <w:bottom w:val="single" w:sz="6" w:space="0" w:color="000000"/>
              <w:right w:val="single" w:sz="6" w:space="0" w:color="000000"/>
            </w:tcBorders>
            <w:shd w:val="clear" w:color="auto" w:fill="D9E2F3"/>
          </w:tcPr>
          <w:p w14:paraId="4364E3F3" w14:textId="77777777" w:rsidR="00532B9E" w:rsidRDefault="00000000">
            <w:pPr>
              <w:jc w:val="center"/>
            </w:pPr>
            <w:r>
              <w:rPr>
                <w:b/>
                <w:sz w:val="17"/>
              </w:rPr>
              <w:t>Sharpe</w:t>
            </w:r>
          </w:p>
        </w:tc>
        <w:tc>
          <w:tcPr>
            <w:tcW w:w="1740" w:type="dxa"/>
            <w:tcBorders>
              <w:top w:val="single" w:sz="6" w:space="0" w:color="000000"/>
              <w:left w:val="single" w:sz="6" w:space="0" w:color="000000"/>
              <w:bottom w:val="single" w:sz="6" w:space="0" w:color="000000"/>
              <w:right w:val="single" w:sz="6" w:space="0" w:color="000000"/>
            </w:tcBorders>
            <w:shd w:val="clear" w:color="auto" w:fill="D9E2F3"/>
          </w:tcPr>
          <w:p w14:paraId="1089BEF1" w14:textId="77777777" w:rsidR="00532B9E" w:rsidRDefault="00000000">
            <w:pPr>
              <w:jc w:val="center"/>
            </w:pPr>
            <w:r>
              <w:rPr>
                <w:b/>
                <w:sz w:val="17"/>
              </w:rPr>
              <w:t>Max DD</w:t>
            </w:r>
          </w:p>
        </w:tc>
        <w:tc>
          <w:tcPr>
            <w:tcW w:w="1740" w:type="dxa"/>
            <w:tcBorders>
              <w:top w:val="single" w:sz="6" w:space="0" w:color="000000"/>
              <w:left w:val="single" w:sz="6" w:space="0" w:color="000000"/>
              <w:bottom w:val="single" w:sz="6" w:space="0" w:color="000000"/>
              <w:right w:val="single" w:sz="6" w:space="0" w:color="000000"/>
            </w:tcBorders>
            <w:shd w:val="clear" w:color="auto" w:fill="D9E2F3"/>
          </w:tcPr>
          <w:p w14:paraId="0F6ED8FA" w14:textId="77777777" w:rsidR="00532B9E" w:rsidRDefault="00000000">
            <w:pPr>
              <w:jc w:val="center"/>
            </w:pPr>
            <w:r>
              <w:rPr>
                <w:b/>
                <w:sz w:val="17"/>
              </w:rPr>
              <w:t>Win Rate</w:t>
            </w:r>
          </w:p>
        </w:tc>
      </w:tr>
      <w:tr w:rsidR="00532B9E" w14:paraId="3C0C3E92"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0CFB4D88" w14:textId="77777777" w:rsidR="00532B9E" w:rsidRDefault="00000000">
            <w:pPr>
              <w:jc w:val="center"/>
            </w:pPr>
            <w:r>
              <w:rPr>
                <w:sz w:val="17"/>
              </w:rPr>
              <w:t>RELIANCE.NS</w:t>
            </w:r>
          </w:p>
        </w:tc>
        <w:tc>
          <w:tcPr>
            <w:tcW w:w="1740" w:type="dxa"/>
            <w:tcBorders>
              <w:top w:val="single" w:sz="4" w:space="0" w:color="000000"/>
              <w:left w:val="single" w:sz="4" w:space="0" w:color="000000"/>
              <w:bottom w:val="single" w:sz="4" w:space="0" w:color="000000"/>
              <w:right w:val="single" w:sz="4" w:space="0" w:color="000000"/>
            </w:tcBorders>
          </w:tcPr>
          <w:p w14:paraId="1FDA0C03" w14:textId="77777777" w:rsidR="00532B9E" w:rsidRDefault="00000000">
            <w:pPr>
              <w:jc w:val="center"/>
            </w:pPr>
            <w:r>
              <w:rPr>
                <w:sz w:val="17"/>
              </w:rPr>
              <w:t>NSE (Energy/Conglomerate)</w:t>
            </w:r>
          </w:p>
        </w:tc>
        <w:tc>
          <w:tcPr>
            <w:tcW w:w="1740" w:type="dxa"/>
            <w:tcBorders>
              <w:top w:val="single" w:sz="4" w:space="0" w:color="000000"/>
              <w:left w:val="single" w:sz="4" w:space="0" w:color="000000"/>
              <w:bottom w:val="single" w:sz="4" w:space="0" w:color="000000"/>
              <w:right w:val="single" w:sz="4" w:space="0" w:color="000000"/>
            </w:tcBorders>
          </w:tcPr>
          <w:p w14:paraId="0B0B8C03" w14:textId="77777777" w:rsidR="00532B9E" w:rsidRDefault="00000000">
            <w:pPr>
              <w:jc w:val="center"/>
            </w:pPr>
            <w:r>
              <w:rPr>
                <w:sz w:val="17"/>
              </w:rPr>
              <w:t>+4.35%</w:t>
            </w:r>
          </w:p>
        </w:tc>
        <w:tc>
          <w:tcPr>
            <w:tcW w:w="1740" w:type="dxa"/>
            <w:tcBorders>
              <w:top w:val="single" w:sz="4" w:space="0" w:color="000000"/>
              <w:left w:val="single" w:sz="4" w:space="0" w:color="000000"/>
              <w:bottom w:val="single" w:sz="4" w:space="0" w:color="000000"/>
              <w:right w:val="single" w:sz="4" w:space="0" w:color="000000"/>
            </w:tcBorders>
          </w:tcPr>
          <w:p w14:paraId="5506F60D" w14:textId="77777777" w:rsidR="00532B9E" w:rsidRDefault="00000000">
            <w:pPr>
              <w:jc w:val="center"/>
            </w:pPr>
            <w:r>
              <w:rPr>
                <w:sz w:val="17"/>
              </w:rPr>
              <w:t>0.68</w:t>
            </w:r>
          </w:p>
        </w:tc>
        <w:tc>
          <w:tcPr>
            <w:tcW w:w="1740" w:type="dxa"/>
            <w:tcBorders>
              <w:top w:val="single" w:sz="4" w:space="0" w:color="000000"/>
              <w:left w:val="single" w:sz="4" w:space="0" w:color="000000"/>
              <w:bottom w:val="single" w:sz="4" w:space="0" w:color="000000"/>
              <w:right w:val="single" w:sz="4" w:space="0" w:color="000000"/>
            </w:tcBorders>
          </w:tcPr>
          <w:p w14:paraId="071A3BF3" w14:textId="77777777" w:rsidR="00532B9E" w:rsidRDefault="00000000">
            <w:pPr>
              <w:jc w:val="center"/>
            </w:pPr>
            <w:r>
              <w:rPr>
                <w:sz w:val="17"/>
              </w:rPr>
              <w:t>-2.85%</w:t>
            </w:r>
          </w:p>
        </w:tc>
        <w:tc>
          <w:tcPr>
            <w:tcW w:w="1740" w:type="dxa"/>
            <w:tcBorders>
              <w:top w:val="single" w:sz="4" w:space="0" w:color="000000"/>
              <w:left w:val="single" w:sz="4" w:space="0" w:color="000000"/>
              <w:bottom w:val="single" w:sz="4" w:space="0" w:color="000000"/>
              <w:right w:val="single" w:sz="4" w:space="0" w:color="000000"/>
            </w:tcBorders>
          </w:tcPr>
          <w:p w14:paraId="147A89FC" w14:textId="77777777" w:rsidR="00532B9E" w:rsidRDefault="00000000">
            <w:pPr>
              <w:jc w:val="center"/>
            </w:pPr>
            <w:r>
              <w:rPr>
                <w:sz w:val="17"/>
              </w:rPr>
              <w:t>55.4%</w:t>
            </w:r>
          </w:p>
        </w:tc>
      </w:tr>
      <w:tr w:rsidR="00532B9E" w14:paraId="7E8BEB48"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3CC93F74" w14:textId="77777777" w:rsidR="00532B9E" w:rsidRDefault="00000000">
            <w:pPr>
              <w:jc w:val="center"/>
            </w:pPr>
            <w:r>
              <w:rPr>
                <w:sz w:val="17"/>
              </w:rPr>
              <w:t>TCS.NS</w:t>
            </w:r>
          </w:p>
        </w:tc>
        <w:tc>
          <w:tcPr>
            <w:tcW w:w="1740" w:type="dxa"/>
            <w:tcBorders>
              <w:top w:val="single" w:sz="4" w:space="0" w:color="000000"/>
              <w:left w:val="single" w:sz="4" w:space="0" w:color="000000"/>
              <w:bottom w:val="single" w:sz="4" w:space="0" w:color="000000"/>
              <w:right w:val="single" w:sz="4" w:space="0" w:color="000000"/>
            </w:tcBorders>
          </w:tcPr>
          <w:p w14:paraId="0F942BDF" w14:textId="77777777" w:rsidR="00532B9E" w:rsidRDefault="00000000">
            <w:pPr>
              <w:jc w:val="center"/>
            </w:pPr>
            <w:r>
              <w:rPr>
                <w:sz w:val="17"/>
              </w:rPr>
              <w:t>NSE (IT/Software)</w:t>
            </w:r>
          </w:p>
        </w:tc>
        <w:tc>
          <w:tcPr>
            <w:tcW w:w="1740" w:type="dxa"/>
            <w:tcBorders>
              <w:top w:val="single" w:sz="4" w:space="0" w:color="000000"/>
              <w:left w:val="single" w:sz="4" w:space="0" w:color="000000"/>
              <w:bottom w:val="single" w:sz="4" w:space="0" w:color="000000"/>
              <w:right w:val="single" w:sz="4" w:space="0" w:color="000000"/>
            </w:tcBorders>
          </w:tcPr>
          <w:p w14:paraId="4263BE9D" w14:textId="77777777" w:rsidR="00532B9E" w:rsidRDefault="00000000">
            <w:pPr>
              <w:jc w:val="center"/>
            </w:pPr>
            <w:r>
              <w:rPr>
                <w:sz w:val="17"/>
              </w:rPr>
              <w:t>+8.42%</w:t>
            </w:r>
          </w:p>
        </w:tc>
        <w:tc>
          <w:tcPr>
            <w:tcW w:w="1740" w:type="dxa"/>
            <w:tcBorders>
              <w:top w:val="single" w:sz="4" w:space="0" w:color="000000"/>
              <w:left w:val="single" w:sz="4" w:space="0" w:color="000000"/>
              <w:bottom w:val="single" w:sz="4" w:space="0" w:color="000000"/>
              <w:right w:val="single" w:sz="4" w:space="0" w:color="000000"/>
            </w:tcBorders>
          </w:tcPr>
          <w:p w14:paraId="07945425" w14:textId="77777777" w:rsidR="00532B9E" w:rsidRDefault="00000000">
            <w:pPr>
              <w:jc w:val="center"/>
            </w:pPr>
            <w:r>
              <w:rPr>
                <w:sz w:val="17"/>
              </w:rPr>
              <w:t>1.85</w:t>
            </w:r>
          </w:p>
        </w:tc>
        <w:tc>
          <w:tcPr>
            <w:tcW w:w="1740" w:type="dxa"/>
            <w:tcBorders>
              <w:top w:val="single" w:sz="4" w:space="0" w:color="000000"/>
              <w:left w:val="single" w:sz="4" w:space="0" w:color="000000"/>
              <w:bottom w:val="single" w:sz="4" w:space="0" w:color="000000"/>
              <w:right w:val="single" w:sz="4" w:space="0" w:color="000000"/>
            </w:tcBorders>
          </w:tcPr>
          <w:p w14:paraId="606CD160" w14:textId="77777777" w:rsidR="00532B9E" w:rsidRDefault="00000000">
            <w:pPr>
              <w:jc w:val="center"/>
            </w:pPr>
            <w:r>
              <w:rPr>
                <w:sz w:val="17"/>
              </w:rPr>
              <w:t>-1.65%</w:t>
            </w:r>
          </w:p>
        </w:tc>
        <w:tc>
          <w:tcPr>
            <w:tcW w:w="1740" w:type="dxa"/>
            <w:tcBorders>
              <w:top w:val="single" w:sz="4" w:space="0" w:color="000000"/>
              <w:left w:val="single" w:sz="4" w:space="0" w:color="000000"/>
              <w:bottom w:val="single" w:sz="4" w:space="0" w:color="000000"/>
              <w:right w:val="single" w:sz="4" w:space="0" w:color="000000"/>
            </w:tcBorders>
          </w:tcPr>
          <w:p w14:paraId="49A94A15" w14:textId="77777777" w:rsidR="00532B9E" w:rsidRDefault="00000000">
            <w:pPr>
              <w:jc w:val="center"/>
            </w:pPr>
            <w:r>
              <w:rPr>
                <w:sz w:val="17"/>
              </w:rPr>
              <w:t>61.2%</w:t>
            </w:r>
          </w:p>
        </w:tc>
      </w:tr>
      <w:tr w:rsidR="00532B9E" w14:paraId="0B697416" w14:textId="77777777">
        <w:trPr>
          <w:jc w:val="center"/>
        </w:trPr>
        <w:tc>
          <w:tcPr>
            <w:tcW w:w="1740" w:type="dxa"/>
            <w:tcBorders>
              <w:top w:val="single" w:sz="4" w:space="0" w:color="000000"/>
              <w:left w:val="single" w:sz="4" w:space="0" w:color="000000"/>
              <w:bottom w:val="single" w:sz="4" w:space="0" w:color="000000"/>
              <w:right w:val="single" w:sz="4" w:space="0" w:color="000000"/>
            </w:tcBorders>
          </w:tcPr>
          <w:p w14:paraId="58CE1953" w14:textId="77777777" w:rsidR="00532B9E" w:rsidRDefault="00000000">
            <w:pPr>
              <w:jc w:val="center"/>
            </w:pPr>
            <w:r>
              <w:rPr>
                <w:sz w:val="17"/>
              </w:rPr>
              <w:t>AAPL</w:t>
            </w:r>
          </w:p>
        </w:tc>
        <w:tc>
          <w:tcPr>
            <w:tcW w:w="1740" w:type="dxa"/>
            <w:tcBorders>
              <w:top w:val="single" w:sz="4" w:space="0" w:color="000000"/>
              <w:left w:val="single" w:sz="4" w:space="0" w:color="000000"/>
              <w:bottom w:val="single" w:sz="4" w:space="0" w:color="000000"/>
              <w:right w:val="single" w:sz="4" w:space="0" w:color="000000"/>
            </w:tcBorders>
          </w:tcPr>
          <w:p w14:paraId="75AE5BD7" w14:textId="77777777" w:rsidR="00532B9E" w:rsidRDefault="00000000">
            <w:pPr>
              <w:jc w:val="center"/>
            </w:pPr>
            <w:r>
              <w:rPr>
                <w:sz w:val="17"/>
              </w:rPr>
              <w:t>NASDAQ (Technology)</w:t>
            </w:r>
          </w:p>
        </w:tc>
        <w:tc>
          <w:tcPr>
            <w:tcW w:w="1740" w:type="dxa"/>
            <w:tcBorders>
              <w:top w:val="single" w:sz="4" w:space="0" w:color="000000"/>
              <w:left w:val="single" w:sz="4" w:space="0" w:color="000000"/>
              <w:bottom w:val="single" w:sz="4" w:space="0" w:color="000000"/>
              <w:right w:val="single" w:sz="4" w:space="0" w:color="000000"/>
            </w:tcBorders>
          </w:tcPr>
          <w:p w14:paraId="3D064D61" w14:textId="77777777" w:rsidR="00532B9E" w:rsidRDefault="00000000">
            <w:pPr>
              <w:jc w:val="center"/>
            </w:pPr>
            <w:r>
              <w:rPr>
                <w:sz w:val="17"/>
              </w:rPr>
              <w:t>+12.42%</w:t>
            </w:r>
          </w:p>
        </w:tc>
        <w:tc>
          <w:tcPr>
            <w:tcW w:w="1740" w:type="dxa"/>
            <w:tcBorders>
              <w:top w:val="single" w:sz="4" w:space="0" w:color="000000"/>
              <w:left w:val="single" w:sz="4" w:space="0" w:color="000000"/>
              <w:bottom w:val="single" w:sz="4" w:space="0" w:color="000000"/>
              <w:right w:val="single" w:sz="4" w:space="0" w:color="000000"/>
            </w:tcBorders>
          </w:tcPr>
          <w:p w14:paraId="35D348E6" w14:textId="77777777" w:rsidR="00532B9E" w:rsidRDefault="00000000">
            <w:pPr>
              <w:jc w:val="center"/>
            </w:pPr>
            <w:r>
              <w:rPr>
                <w:sz w:val="17"/>
              </w:rPr>
              <w:t>2.45</w:t>
            </w:r>
          </w:p>
        </w:tc>
        <w:tc>
          <w:tcPr>
            <w:tcW w:w="1740" w:type="dxa"/>
            <w:tcBorders>
              <w:top w:val="single" w:sz="4" w:space="0" w:color="000000"/>
              <w:left w:val="single" w:sz="4" w:space="0" w:color="000000"/>
              <w:bottom w:val="single" w:sz="4" w:space="0" w:color="000000"/>
              <w:right w:val="single" w:sz="4" w:space="0" w:color="000000"/>
            </w:tcBorders>
          </w:tcPr>
          <w:p w14:paraId="05A05E0C" w14:textId="77777777" w:rsidR="00532B9E" w:rsidRDefault="00000000">
            <w:pPr>
              <w:jc w:val="center"/>
            </w:pPr>
            <w:r>
              <w:rPr>
                <w:sz w:val="17"/>
              </w:rPr>
              <w:t>-1.22%</w:t>
            </w:r>
          </w:p>
        </w:tc>
        <w:tc>
          <w:tcPr>
            <w:tcW w:w="1740" w:type="dxa"/>
            <w:tcBorders>
              <w:top w:val="single" w:sz="4" w:space="0" w:color="000000"/>
              <w:left w:val="single" w:sz="4" w:space="0" w:color="000000"/>
              <w:bottom w:val="single" w:sz="4" w:space="0" w:color="000000"/>
              <w:right w:val="single" w:sz="4" w:space="0" w:color="000000"/>
            </w:tcBorders>
          </w:tcPr>
          <w:p w14:paraId="7444B890" w14:textId="77777777" w:rsidR="00532B9E" w:rsidRDefault="00000000">
            <w:pPr>
              <w:jc w:val="center"/>
            </w:pPr>
            <w:r>
              <w:rPr>
                <w:sz w:val="17"/>
              </w:rPr>
              <w:t>64.8%</w:t>
            </w:r>
          </w:p>
        </w:tc>
      </w:tr>
    </w:tbl>
    <w:p w14:paraId="67972890" w14:textId="77777777" w:rsidR="00532B9E" w:rsidRDefault="00532B9E"/>
    <w:p w14:paraId="2CFBFB79" w14:textId="77777777" w:rsidR="00532B9E" w:rsidRDefault="00000000">
      <w:r>
        <w:rPr>
          <w:sz w:val="21"/>
        </w:rPr>
        <w:t>The system maintains positive returns across all three tickers and markets. The higher Sharpe ratios for TCS.NS (1.85) and AAPL (2.45) suggest that the model’s volatility-adaptive labeling and regime detection generalize effectively to technology sector equities, which tend to have cleaner trend structures than diversified conglomerates.</w:t>
      </w:r>
    </w:p>
    <w:p w14:paraId="59EB1EA8" w14:textId="77777777" w:rsidR="00532B9E" w:rsidRDefault="00000000">
      <w:pPr>
        <w:spacing w:before="120" w:after="40"/>
        <w:jc w:val="center"/>
      </w:pPr>
      <w:r>
        <w:rPr>
          <w:noProof/>
        </w:rPr>
        <w:drawing>
          <wp:inline distT="0" distB="0" distL="0" distR="0" wp14:anchorId="47A4A153" wp14:editId="11CDDADA">
            <wp:extent cx="2743200" cy="11107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PL_equity_curve.png"/>
                    <pic:cNvPicPr/>
                  </pic:nvPicPr>
                  <pic:blipFill>
                    <a:blip r:embed="rId15"/>
                    <a:stretch>
                      <a:fillRect/>
                    </a:stretch>
                  </pic:blipFill>
                  <pic:spPr>
                    <a:xfrm>
                      <a:off x="0" y="0"/>
                      <a:ext cx="2743200" cy="1110781"/>
                    </a:xfrm>
                    <a:prstGeom prst="rect">
                      <a:avLst/>
                    </a:prstGeom>
                  </pic:spPr>
                </pic:pic>
              </a:graphicData>
            </a:graphic>
          </wp:inline>
        </w:drawing>
      </w:r>
    </w:p>
    <w:p w14:paraId="2C03FABC" w14:textId="77777777" w:rsidR="00532B9E" w:rsidRDefault="00000000">
      <w:pPr>
        <w:spacing w:before="40" w:after="120"/>
        <w:jc w:val="center"/>
      </w:pPr>
      <w:r>
        <w:rPr>
          <w:i/>
          <w:sz w:val="18"/>
        </w:rPr>
        <w:t>Fig. 10. AAPL (NASDAQ) walk-forward equity curve. The strategy (blue) successfully generalizes to US technology equities, achieving +12.42% return out-of-sample with minimal drawdown.</w:t>
      </w:r>
    </w:p>
    <w:p w14:paraId="2FB6C0C2" w14:textId="77777777" w:rsidR="00532B9E" w:rsidRDefault="00000000">
      <w:pPr>
        <w:spacing w:before="160" w:after="80"/>
      </w:pPr>
      <w:r>
        <w:rPr>
          <w:b/>
          <w:i/>
          <w:sz w:val="23"/>
        </w:rPr>
        <w:t>K. Discussion: Limitations and The Small Data Verdict</w:t>
      </w:r>
    </w:p>
    <w:p w14:paraId="6F46DB81" w14:textId="77777777" w:rsidR="00D32B9C" w:rsidRPr="00D32B9C" w:rsidRDefault="00D32B9C" w:rsidP="00D32B9C">
      <w:pPr>
        <w:spacing w:before="160" w:after="80"/>
        <w:rPr>
          <w:sz w:val="21"/>
        </w:rPr>
      </w:pPr>
      <w:r w:rsidRPr="00D32B9C">
        <w:rPr>
          <w:sz w:val="21"/>
        </w:rPr>
        <w:t>A critical caveat about the validity of the expanded 50-ticker evaluation is the cross-sectional correlation bias: due to the strong intra-group collinearity of the NIFTY 50, a pooled train/test split creates cross-sectional leakage between the assets of the same sector, resulting in a single macro factor being squeezed out over different folds on the same day. In reality, 63.6% of the peak accuracy represents this macro premium; future research should utilize orthogonal leave-one-sector-out validation to extract a purely idiosyncratic alpha signal.</w:t>
      </w:r>
    </w:p>
    <w:p w14:paraId="0C5FD216" w14:textId="77777777" w:rsidR="00D32B9C" w:rsidRPr="00D32B9C" w:rsidRDefault="00D32B9C" w:rsidP="00D32B9C">
      <w:pPr>
        <w:spacing w:before="160" w:after="80"/>
        <w:rPr>
          <w:sz w:val="21"/>
        </w:rPr>
      </w:pPr>
      <w:r w:rsidRPr="00D32B9C">
        <w:rPr>
          <w:sz w:val="21"/>
        </w:rPr>
        <w:lastRenderedPageBreak/>
        <w:t>One cannot emphasize enough the negative implications of the central finding of this paper: at the sample size of ~1000, any sensible deep learning architecture (TCN, LSTM) fails to provide any meaningful discrimination with AUC of ~0.529.</w:t>
      </w:r>
    </w:p>
    <w:p w14:paraId="530B50F6" w14:textId="77777777" w:rsidR="00D32B9C" w:rsidRPr="00D32B9C" w:rsidRDefault="00D32B9C" w:rsidP="00D32B9C">
      <w:pPr>
        <w:spacing w:before="160" w:after="80"/>
        <w:rPr>
          <w:sz w:val="21"/>
        </w:rPr>
      </w:pPr>
      <w:r>
        <w:t>This is not a problem of model design but the question of sample size adequacy; note how TCN with a mere 1.5K parameters (vs. 100K for the LSTM) underperforms by a large margin, suggesting that the parameter-to-sample ratio of 1:40 is too low to find meaningful patterns in noisy financial time series. The required discovery sample size increases to 40K observations: with AUC of 0.628, the TCN starts to demonstrate competitive performance.</w:t>
      </w:r>
    </w:p>
    <w:p w14:paraId="36AE5359" w14:textId="77777777" w:rsidR="00FB5ED3" w:rsidRDefault="00FB5ED3" w:rsidP="00D32B9C">
      <w:pPr>
        <w:spacing w:before="160" w:after="80"/>
        <w:rPr>
          <w:sz w:val="21"/>
        </w:rPr>
      </w:pPr>
      <w:r w:rsidRPr="00FB5ED3">
        <w:rPr>
          <w:sz w:val="21"/>
        </w:rPr>
        <w:t>Speaking of which, it becomes clear why tree-based models are preferable in this case: unlike smooth non-parametric models like TCN, gradient boosted trees have discontinuous decision boundaries that partition the input space into regions of roughly equal predicted value. This is essential to understanding the problem: because financial tables are rife with extremes and non-stationarities and heavy tails, increasing the effective dimensionality of the feature space explodes the variance of the model. In other words, the manifold assumption underlying GANs or VAEs is not met for financial tables, as the domain of possible values is not compact.</w:t>
      </w:r>
    </w:p>
    <w:p w14:paraId="38F19270" w14:textId="2CAAFCBB" w:rsidR="00D32B9C" w:rsidRDefault="00D32B9C" w:rsidP="00D32B9C">
      <w:pPr>
        <w:spacing w:before="160" w:after="80"/>
        <w:rPr>
          <w:sz w:val="21"/>
        </w:rPr>
      </w:pPr>
      <w:r w:rsidRPr="00D32B9C">
        <w:rPr>
          <w:sz w:val="21"/>
        </w:rPr>
        <w:t xml:space="preserve">By comparison, the </w:t>
      </w:r>
      <w:proofErr w:type="spellStart"/>
      <w:r w:rsidRPr="00D32B9C">
        <w:rPr>
          <w:sz w:val="21"/>
        </w:rPr>
        <w:t>LightGBM</w:t>
      </w:r>
      <w:proofErr w:type="spellEnd"/>
      <w:r w:rsidRPr="00D32B9C">
        <w:rPr>
          <w:sz w:val="21"/>
        </w:rPr>
        <w:t xml:space="preserve"> benchmark of AUC 0.679 demonstrates that there is indeed structure to be found in technical indicators, volatility estimates, and NLP sentiment scores, and that it can generalize reasonably well to unseen assets. Tree models are able to exploit the piecewise constant nature of tabular distributions and achieve superior performance at small sample sizes via the aforementioned partitioning. A practitioner wishing to apply deep learning to financial time series prediction has two options: either work with intraday data at a sufficiently high frequency to get the needed 1M+ samples, or utilize transfer learning from a pre-trained model on a larger universe of assets.</w:t>
      </w:r>
    </w:p>
    <w:p w14:paraId="5E843699" w14:textId="3E82BF4C" w:rsidR="00532B9E" w:rsidRDefault="00000000" w:rsidP="00D32B9C">
      <w:pPr>
        <w:spacing w:before="160" w:after="80"/>
      </w:pPr>
      <w:r>
        <w:rPr>
          <w:b/>
          <w:i/>
          <w:sz w:val="23"/>
        </w:rPr>
        <w:t>L. Computational Complexity and Hyperparameters</w:t>
      </w:r>
    </w:p>
    <w:p w14:paraId="112F63A0" w14:textId="7251447A" w:rsidR="00532B9E" w:rsidRDefault="00000000">
      <w:r>
        <w:rPr>
          <w:sz w:val="21"/>
        </w:rPr>
        <w:t xml:space="preserve">Table IX details </w:t>
      </w:r>
      <w:r w:rsidR="00D32B9C">
        <w:rPr>
          <w:sz w:val="21"/>
        </w:rPr>
        <w:t xml:space="preserve">about </w:t>
      </w:r>
      <w:r>
        <w:rPr>
          <w:sz w:val="21"/>
        </w:rPr>
        <w:t xml:space="preserve">the final hyperparameters selected </w:t>
      </w:r>
      <w:r w:rsidR="00D32B9C">
        <w:rPr>
          <w:sz w:val="21"/>
        </w:rPr>
        <w:t>by</w:t>
      </w:r>
      <w:r>
        <w:rPr>
          <w:sz w:val="21"/>
        </w:rPr>
        <w:t xml:space="preserve"> grid search for the primary modeling components.</w:t>
      </w:r>
    </w:p>
    <w:p w14:paraId="620DB502" w14:textId="77777777" w:rsidR="00532B9E" w:rsidRDefault="00000000">
      <w:pPr>
        <w:spacing w:before="120" w:after="40"/>
        <w:jc w:val="center"/>
      </w:pPr>
      <w:r>
        <w:rPr>
          <w:b/>
          <w:sz w:val="18"/>
        </w:rPr>
        <w:t>TABLE IX. Final Hyperparameter Configurations</w:t>
      </w:r>
    </w:p>
    <w:tbl>
      <w:tblPr>
        <w:tblW w:w="0" w:type="auto"/>
        <w:jc w:val="center"/>
        <w:tblLook w:val="04A0" w:firstRow="1" w:lastRow="0" w:firstColumn="1" w:lastColumn="0" w:noHBand="0" w:noVBand="1"/>
      </w:tblPr>
      <w:tblGrid>
        <w:gridCol w:w="1313"/>
        <w:gridCol w:w="1630"/>
        <w:gridCol w:w="1099"/>
        <w:gridCol w:w="1020"/>
      </w:tblGrid>
      <w:tr w:rsidR="00532B9E" w14:paraId="1305AC17" w14:textId="77777777">
        <w:trPr>
          <w:jc w:val="center"/>
        </w:trPr>
        <w:tc>
          <w:tcPr>
            <w:tcW w:w="2610" w:type="dxa"/>
            <w:tcBorders>
              <w:top w:val="single" w:sz="6" w:space="0" w:color="000000"/>
              <w:left w:val="single" w:sz="6" w:space="0" w:color="000000"/>
              <w:bottom w:val="single" w:sz="6" w:space="0" w:color="000000"/>
              <w:right w:val="single" w:sz="6" w:space="0" w:color="000000"/>
            </w:tcBorders>
            <w:shd w:val="clear" w:color="auto" w:fill="D9E2F3"/>
          </w:tcPr>
          <w:p w14:paraId="42E5FD4C" w14:textId="77777777" w:rsidR="00532B9E" w:rsidRDefault="00000000">
            <w:pPr>
              <w:jc w:val="center"/>
            </w:pPr>
            <w:r>
              <w:rPr>
                <w:b/>
                <w:sz w:val="17"/>
              </w:rPr>
              <w:t>Component</w:t>
            </w:r>
          </w:p>
        </w:tc>
        <w:tc>
          <w:tcPr>
            <w:tcW w:w="2610" w:type="dxa"/>
            <w:tcBorders>
              <w:top w:val="single" w:sz="6" w:space="0" w:color="000000"/>
              <w:left w:val="single" w:sz="6" w:space="0" w:color="000000"/>
              <w:bottom w:val="single" w:sz="6" w:space="0" w:color="000000"/>
              <w:right w:val="single" w:sz="6" w:space="0" w:color="000000"/>
            </w:tcBorders>
            <w:shd w:val="clear" w:color="auto" w:fill="D9E2F3"/>
          </w:tcPr>
          <w:p w14:paraId="0C3311D9" w14:textId="77777777" w:rsidR="00532B9E" w:rsidRDefault="00000000">
            <w:pPr>
              <w:jc w:val="center"/>
            </w:pPr>
            <w:r>
              <w:rPr>
                <w:b/>
                <w:sz w:val="17"/>
              </w:rPr>
              <w:t>Hyperparameter</w:t>
            </w:r>
          </w:p>
        </w:tc>
        <w:tc>
          <w:tcPr>
            <w:tcW w:w="2610" w:type="dxa"/>
            <w:tcBorders>
              <w:top w:val="single" w:sz="6" w:space="0" w:color="000000"/>
              <w:left w:val="single" w:sz="6" w:space="0" w:color="000000"/>
              <w:bottom w:val="single" w:sz="6" w:space="0" w:color="000000"/>
              <w:right w:val="single" w:sz="6" w:space="0" w:color="000000"/>
            </w:tcBorders>
            <w:shd w:val="clear" w:color="auto" w:fill="D9E2F3"/>
          </w:tcPr>
          <w:p w14:paraId="1E405F04" w14:textId="77777777" w:rsidR="00532B9E" w:rsidRDefault="00000000">
            <w:pPr>
              <w:jc w:val="center"/>
            </w:pPr>
            <w:r>
              <w:rPr>
                <w:b/>
                <w:sz w:val="17"/>
              </w:rPr>
              <w:t>Selected Value</w:t>
            </w:r>
          </w:p>
        </w:tc>
        <w:tc>
          <w:tcPr>
            <w:tcW w:w="2610" w:type="dxa"/>
            <w:tcBorders>
              <w:top w:val="single" w:sz="6" w:space="0" w:color="000000"/>
              <w:left w:val="single" w:sz="6" w:space="0" w:color="000000"/>
              <w:bottom w:val="single" w:sz="6" w:space="0" w:color="000000"/>
              <w:right w:val="single" w:sz="6" w:space="0" w:color="000000"/>
            </w:tcBorders>
            <w:shd w:val="clear" w:color="auto" w:fill="D9E2F3"/>
          </w:tcPr>
          <w:p w14:paraId="2689E43C" w14:textId="77777777" w:rsidR="00532B9E" w:rsidRDefault="00000000">
            <w:pPr>
              <w:jc w:val="center"/>
            </w:pPr>
            <w:r>
              <w:rPr>
                <w:b/>
                <w:sz w:val="17"/>
              </w:rPr>
              <w:t>Search Space</w:t>
            </w:r>
          </w:p>
        </w:tc>
      </w:tr>
      <w:tr w:rsidR="00532B9E" w14:paraId="61D72058" w14:textId="77777777">
        <w:trPr>
          <w:jc w:val="center"/>
        </w:trPr>
        <w:tc>
          <w:tcPr>
            <w:tcW w:w="2610" w:type="dxa"/>
            <w:tcBorders>
              <w:top w:val="single" w:sz="4" w:space="0" w:color="000000"/>
              <w:left w:val="single" w:sz="4" w:space="0" w:color="000000"/>
              <w:bottom w:val="single" w:sz="4" w:space="0" w:color="000000"/>
              <w:right w:val="single" w:sz="4" w:space="0" w:color="000000"/>
            </w:tcBorders>
          </w:tcPr>
          <w:p w14:paraId="5BA79D1C" w14:textId="77777777" w:rsidR="00532B9E" w:rsidRDefault="00000000">
            <w:pPr>
              <w:jc w:val="center"/>
            </w:pPr>
            <w:r>
              <w:rPr>
                <w:sz w:val="17"/>
              </w:rPr>
              <w:t>LightGBM</w:t>
            </w:r>
          </w:p>
        </w:tc>
        <w:tc>
          <w:tcPr>
            <w:tcW w:w="2610" w:type="dxa"/>
            <w:tcBorders>
              <w:top w:val="single" w:sz="4" w:space="0" w:color="000000"/>
              <w:left w:val="single" w:sz="4" w:space="0" w:color="000000"/>
              <w:bottom w:val="single" w:sz="4" w:space="0" w:color="000000"/>
              <w:right w:val="single" w:sz="4" w:space="0" w:color="000000"/>
            </w:tcBorders>
          </w:tcPr>
          <w:p w14:paraId="48432233" w14:textId="77777777" w:rsidR="00532B9E" w:rsidRDefault="00000000">
            <w:pPr>
              <w:jc w:val="center"/>
            </w:pPr>
            <w:r>
              <w:rPr>
                <w:sz w:val="17"/>
              </w:rPr>
              <w:t>num_leaves</w:t>
            </w:r>
          </w:p>
        </w:tc>
        <w:tc>
          <w:tcPr>
            <w:tcW w:w="2610" w:type="dxa"/>
            <w:tcBorders>
              <w:top w:val="single" w:sz="4" w:space="0" w:color="000000"/>
              <w:left w:val="single" w:sz="4" w:space="0" w:color="000000"/>
              <w:bottom w:val="single" w:sz="4" w:space="0" w:color="000000"/>
              <w:right w:val="single" w:sz="4" w:space="0" w:color="000000"/>
            </w:tcBorders>
          </w:tcPr>
          <w:p w14:paraId="5283CF00" w14:textId="77777777" w:rsidR="00532B9E" w:rsidRDefault="00000000">
            <w:pPr>
              <w:jc w:val="center"/>
            </w:pPr>
            <w:r>
              <w:rPr>
                <w:sz w:val="17"/>
              </w:rPr>
              <w:t>31</w:t>
            </w:r>
          </w:p>
        </w:tc>
        <w:tc>
          <w:tcPr>
            <w:tcW w:w="2610" w:type="dxa"/>
            <w:tcBorders>
              <w:top w:val="single" w:sz="4" w:space="0" w:color="000000"/>
              <w:left w:val="single" w:sz="4" w:space="0" w:color="000000"/>
              <w:bottom w:val="single" w:sz="4" w:space="0" w:color="000000"/>
              <w:right w:val="single" w:sz="4" w:space="0" w:color="000000"/>
            </w:tcBorders>
          </w:tcPr>
          <w:p w14:paraId="25A90FFD" w14:textId="77777777" w:rsidR="00532B9E" w:rsidRDefault="00000000">
            <w:pPr>
              <w:jc w:val="center"/>
            </w:pPr>
            <w:r>
              <w:rPr>
                <w:sz w:val="17"/>
              </w:rPr>
              <w:t>[15, 31, 63]</w:t>
            </w:r>
          </w:p>
        </w:tc>
      </w:tr>
      <w:tr w:rsidR="00532B9E" w14:paraId="64DE7FBA" w14:textId="77777777">
        <w:trPr>
          <w:jc w:val="center"/>
        </w:trPr>
        <w:tc>
          <w:tcPr>
            <w:tcW w:w="2610" w:type="dxa"/>
            <w:tcBorders>
              <w:top w:val="single" w:sz="4" w:space="0" w:color="000000"/>
              <w:left w:val="single" w:sz="4" w:space="0" w:color="000000"/>
              <w:bottom w:val="single" w:sz="4" w:space="0" w:color="000000"/>
              <w:right w:val="single" w:sz="4" w:space="0" w:color="000000"/>
            </w:tcBorders>
          </w:tcPr>
          <w:p w14:paraId="1500BC18" w14:textId="77777777" w:rsidR="00532B9E" w:rsidRDefault="00000000">
            <w:pPr>
              <w:jc w:val="center"/>
            </w:pPr>
            <w:r>
              <w:rPr>
                <w:sz w:val="17"/>
              </w:rPr>
              <w:t>LightGBM</w:t>
            </w:r>
          </w:p>
        </w:tc>
        <w:tc>
          <w:tcPr>
            <w:tcW w:w="2610" w:type="dxa"/>
            <w:tcBorders>
              <w:top w:val="single" w:sz="4" w:space="0" w:color="000000"/>
              <w:left w:val="single" w:sz="4" w:space="0" w:color="000000"/>
              <w:bottom w:val="single" w:sz="4" w:space="0" w:color="000000"/>
              <w:right w:val="single" w:sz="4" w:space="0" w:color="000000"/>
            </w:tcBorders>
          </w:tcPr>
          <w:p w14:paraId="583C9C50" w14:textId="77777777" w:rsidR="00532B9E" w:rsidRDefault="00000000">
            <w:pPr>
              <w:jc w:val="center"/>
            </w:pPr>
            <w:r>
              <w:rPr>
                <w:sz w:val="17"/>
              </w:rPr>
              <w:t>learning_rate</w:t>
            </w:r>
          </w:p>
        </w:tc>
        <w:tc>
          <w:tcPr>
            <w:tcW w:w="2610" w:type="dxa"/>
            <w:tcBorders>
              <w:top w:val="single" w:sz="4" w:space="0" w:color="000000"/>
              <w:left w:val="single" w:sz="4" w:space="0" w:color="000000"/>
              <w:bottom w:val="single" w:sz="4" w:space="0" w:color="000000"/>
              <w:right w:val="single" w:sz="4" w:space="0" w:color="000000"/>
            </w:tcBorders>
          </w:tcPr>
          <w:p w14:paraId="2845A0BA" w14:textId="77777777" w:rsidR="00532B9E" w:rsidRDefault="00000000">
            <w:pPr>
              <w:jc w:val="center"/>
            </w:pPr>
            <w:r>
              <w:rPr>
                <w:sz w:val="17"/>
              </w:rPr>
              <w:t>0.05</w:t>
            </w:r>
          </w:p>
        </w:tc>
        <w:tc>
          <w:tcPr>
            <w:tcW w:w="2610" w:type="dxa"/>
            <w:tcBorders>
              <w:top w:val="single" w:sz="4" w:space="0" w:color="000000"/>
              <w:left w:val="single" w:sz="4" w:space="0" w:color="000000"/>
              <w:bottom w:val="single" w:sz="4" w:space="0" w:color="000000"/>
              <w:right w:val="single" w:sz="4" w:space="0" w:color="000000"/>
            </w:tcBorders>
          </w:tcPr>
          <w:p w14:paraId="1233B61F" w14:textId="77777777" w:rsidR="00532B9E" w:rsidRDefault="00000000">
            <w:pPr>
              <w:jc w:val="center"/>
            </w:pPr>
            <w:r>
              <w:rPr>
                <w:sz w:val="17"/>
              </w:rPr>
              <w:t>[0.01, 0.05, 0.1]</w:t>
            </w:r>
          </w:p>
        </w:tc>
      </w:tr>
      <w:tr w:rsidR="00532B9E" w14:paraId="3FE80AC0" w14:textId="77777777">
        <w:trPr>
          <w:jc w:val="center"/>
        </w:trPr>
        <w:tc>
          <w:tcPr>
            <w:tcW w:w="2610" w:type="dxa"/>
            <w:tcBorders>
              <w:top w:val="single" w:sz="4" w:space="0" w:color="000000"/>
              <w:left w:val="single" w:sz="4" w:space="0" w:color="000000"/>
              <w:bottom w:val="single" w:sz="4" w:space="0" w:color="000000"/>
              <w:right w:val="single" w:sz="4" w:space="0" w:color="000000"/>
            </w:tcBorders>
          </w:tcPr>
          <w:p w14:paraId="46D6F2D0" w14:textId="77777777" w:rsidR="00532B9E" w:rsidRDefault="00000000">
            <w:pPr>
              <w:jc w:val="center"/>
            </w:pPr>
            <w:r>
              <w:rPr>
                <w:sz w:val="17"/>
              </w:rPr>
              <w:t>TCN</w:t>
            </w:r>
          </w:p>
        </w:tc>
        <w:tc>
          <w:tcPr>
            <w:tcW w:w="2610" w:type="dxa"/>
            <w:tcBorders>
              <w:top w:val="single" w:sz="4" w:space="0" w:color="000000"/>
              <w:left w:val="single" w:sz="4" w:space="0" w:color="000000"/>
              <w:bottom w:val="single" w:sz="4" w:space="0" w:color="000000"/>
              <w:right w:val="single" w:sz="4" w:space="0" w:color="000000"/>
            </w:tcBorders>
          </w:tcPr>
          <w:p w14:paraId="3F2DF326" w14:textId="77777777" w:rsidR="00532B9E" w:rsidRDefault="00000000">
            <w:pPr>
              <w:jc w:val="center"/>
            </w:pPr>
            <w:r>
              <w:rPr>
                <w:sz w:val="17"/>
              </w:rPr>
              <w:t>filters</w:t>
            </w:r>
          </w:p>
        </w:tc>
        <w:tc>
          <w:tcPr>
            <w:tcW w:w="2610" w:type="dxa"/>
            <w:tcBorders>
              <w:top w:val="single" w:sz="4" w:space="0" w:color="000000"/>
              <w:left w:val="single" w:sz="4" w:space="0" w:color="000000"/>
              <w:bottom w:val="single" w:sz="4" w:space="0" w:color="000000"/>
              <w:right w:val="single" w:sz="4" w:space="0" w:color="000000"/>
            </w:tcBorders>
          </w:tcPr>
          <w:p w14:paraId="60D5CD9F" w14:textId="77777777" w:rsidR="00532B9E" w:rsidRDefault="00000000">
            <w:pPr>
              <w:jc w:val="center"/>
            </w:pPr>
            <w:r>
              <w:rPr>
                <w:sz w:val="17"/>
              </w:rPr>
              <w:t>32</w:t>
            </w:r>
          </w:p>
        </w:tc>
        <w:tc>
          <w:tcPr>
            <w:tcW w:w="2610" w:type="dxa"/>
            <w:tcBorders>
              <w:top w:val="single" w:sz="4" w:space="0" w:color="000000"/>
              <w:left w:val="single" w:sz="4" w:space="0" w:color="000000"/>
              <w:bottom w:val="single" w:sz="4" w:space="0" w:color="000000"/>
              <w:right w:val="single" w:sz="4" w:space="0" w:color="000000"/>
            </w:tcBorders>
          </w:tcPr>
          <w:p w14:paraId="053E3E48" w14:textId="77777777" w:rsidR="00532B9E" w:rsidRDefault="00000000">
            <w:pPr>
              <w:jc w:val="center"/>
            </w:pPr>
            <w:r>
              <w:rPr>
                <w:sz w:val="17"/>
              </w:rPr>
              <w:t>[16, 32, 64]</w:t>
            </w:r>
          </w:p>
        </w:tc>
      </w:tr>
      <w:tr w:rsidR="00532B9E" w14:paraId="61E11E17" w14:textId="77777777">
        <w:trPr>
          <w:jc w:val="center"/>
        </w:trPr>
        <w:tc>
          <w:tcPr>
            <w:tcW w:w="2610" w:type="dxa"/>
            <w:tcBorders>
              <w:top w:val="single" w:sz="4" w:space="0" w:color="000000"/>
              <w:left w:val="single" w:sz="4" w:space="0" w:color="000000"/>
              <w:bottom w:val="single" w:sz="4" w:space="0" w:color="000000"/>
              <w:right w:val="single" w:sz="4" w:space="0" w:color="000000"/>
            </w:tcBorders>
          </w:tcPr>
          <w:p w14:paraId="43F1433D" w14:textId="77777777" w:rsidR="00532B9E" w:rsidRDefault="00000000">
            <w:pPr>
              <w:jc w:val="center"/>
            </w:pPr>
            <w:r>
              <w:rPr>
                <w:sz w:val="17"/>
              </w:rPr>
              <w:t>TCN</w:t>
            </w:r>
          </w:p>
        </w:tc>
        <w:tc>
          <w:tcPr>
            <w:tcW w:w="2610" w:type="dxa"/>
            <w:tcBorders>
              <w:top w:val="single" w:sz="4" w:space="0" w:color="000000"/>
              <w:left w:val="single" w:sz="4" w:space="0" w:color="000000"/>
              <w:bottom w:val="single" w:sz="4" w:space="0" w:color="000000"/>
              <w:right w:val="single" w:sz="4" w:space="0" w:color="000000"/>
            </w:tcBorders>
          </w:tcPr>
          <w:p w14:paraId="19AD4CAF" w14:textId="77777777" w:rsidR="00532B9E" w:rsidRDefault="00000000">
            <w:pPr>
              <w:jc w:val="center"/>
            </w:pPr>
            <w:r>
              <w:rPr>
                <w:sz w:val="17"/>
              </w:rPr>
              <w:t>dropout</w:t>
            </w:r>
          </w:p>
        </w:tc>
        <w:tc>
          <w:tcPr>
            <w:tcW w:w="2610" w:type="dxa"/>
            <w:tcBorders>
              <w:top w:val="single" w:sz="4" w:space="0" w:color="000000"/>
              <w:left w:val="single" w:sz="4" w:space="0" w:color="000000"/>
              <w:bottom w:val="single" w:sz="4" w:space="0" w:color="000000"/>
              <w:right w:val="single" w:sz="4" w:space="0" w:color="000000"/>
            </w:tcBorders>
          </w:tcPr>
          <w:p w14:paraId="2863A107" w14:textId="77777777" w:rsidR="00532B9E" w:rsidRDefault="00000000">
            <w:pPr>
              <w:jc w:val="center"/>
            </w:pPr>
            <w:r>
              <w:rPr>
                <w:sz w:val="17"/>
              </w:rPr>
              <w:t>0.3</w:t>
            </w:r>
          </w:p>
        </w:tc>
        <w:tc>
          <w:tcPr>
            <w:tcW w:w="2610" w:type="dxa"/>
            <w:tcBorders>
              <w:top w:val="single" w:sz="4" w:space="0" w:color="000000"/>
              <w:left w:val="single" w:sz="4" w:space="0" w:color="000000"/>
              <w:bottom w:val="single" w:sz="4" w:space="0" w:color="000000"/>
              <w:right w:val="single" w:sz="4" w:space="0" w:color="000000"/>
            </w:tcBorders>
          </w:tcPr>
          <w:p w14:paraId="11256003" w14:textId="77777777" w:rsidR="00532B9E" w:rsidRDefault="00000000">
            <w:pPr>
              <w:jc w:val="center"/>
            </w:pPr>
            <w:r>
              <w:rPr>
                <w:sz w:val="17"/>
              </w:rPr>
              <w:t>[0.1, 0.3, 0.5]</w:t>
            </w:r>
          </w:p>
        </w:tc>
      </w:tr>
      <w:tr w:rsidR="00532B9E" w14:paraId="507D95DD" w14:textId="77777777">
        <w:trPr>
          <w:jc w:val="center"/>
        </w:trPr>
        <w:tc>
          <w:tcPr>
            <w:tcW w:w="2610" w:type="dxa"/>
            <w:tcBorders>
              <w:top w:val="single" w:sz="4" w:space="0" w:color="000000"/>
              <w:left w:val="single" w:sz="4" w:space="0" w:color="000000"/>
              <w:bottom w:val="single" w:sz="4" w:space="0" w:color="000000"/>
              <w:right w:val="single" w:sz="4" w:space="0" w:color="000000"/>
            </w:tcBorders>
          </w:tcPr>
          <w:p w14:paraId="144C51BE" w14:textId="77777777" w:rsidR="00532B9E" w:rsidRDefault="00000000">
            <w:pPr>
              <w:jc w:val="center"/>
            </w:pPr>
            <w:r>
              <w:rPr>
                <w:sz w:val="17"/>
              </w:rPr>
              <w:t>Meta-Learner</w:t>
            </w:r>
          </w:p>
        </w:tc>
        <w:tc>
          <w:tcPr>
            <w:tcW w:w="2610" w:type="dxa"/>
            <w:tcBorders>
              <w:top w:val="single" w:sz="4" w:space="0" w:color="000000"/>
              <w:left w:val="single" w:sz="4" w:space="0" w:color="000000"/>
              <w:bottom w:val="single" w:sz="4" w:space="0" w:color="000000"/>
              <w:right w:val="single" w:sz="4" w:space="0" w:color="000000"/>
            </w:tcBorders>
          </w:tcPr>
          <w:p w14:paraId="4EE8A364" w14:textId="77777777" w:rsidR="00532B9E" w:rsidRDefault="00000000">
            <w:pPr>
              <w:jc w:val="center"/>
            </w:pPr>
            <w:r>
              <w:rPr>
                <w:sz w:val="17"/>
              </w:rPr>
              <w:t>w_tcn</w:t>
            </w:r>
          </w:p>
        </w:tc>
        <w:tc>
          <w:tcPr>
            <w:tcW w:w="2610" w:type="dxa"/>
            <w:tcBorders>
              <w:top w:val="single" w:sz="4" w:space="0" w:color="000000"/>
              <w:left w:val="single" w:sz="4" w:space="0" w:color="000000"/>
              <w:bottom w:val="single" w:sz="4" w:space="0" w:color="000000"/>
              <w:right w:val="single" w:sz="4" w:space="0" w:color="000000"/>
            </w:tcBorders>
          </w:tcPr>
          <w:p w14:paraId="4DD1041A" w14:textId="77777777" w:rsidR="00532B9E" w:rsidRDefault="00000000">
            <w:pPr>
              <w:jc w:val="center"/>
            </w:pPr>
            <w:r>
              <w:rPr>
                <w:sz w:val="17"/>
              </w:rPr>
              <w:t>0.50</w:t>
            </w:r>
          </w:p>
        </w:tc>
        <w:tc>
          <w:tcPr>
            <w:tcW w:w="2610" w:type="dxa"/>
            <w:tcBorders>
              <w:top w:val="single" w:sz="4" w:space="0" w:color="000000"/>
              <w:left w:val="single" w:sz="4" w:space="0" w:color="000000"/>
              <w:bottom w:val="single" w:sz="4" w:space="0" w:color="000000"/>
              <w:right w:val="single" w:sz="4" w:space="0" w:color="000000"/>
            </w:tcBorders>
          </w:tcPr>
          <w:p w14:paraId="66972BF0" w14:textId="77777777" w:rsidR="00532B9E" w:rsidRDefault="00000000">
            <w:pPr>
              <w:jc w:val="center"/>
            </w:pPr>
            <w:r>
              <w:rPr>
                <w:sz w:val="17"/>
              </w:rPr>
              <w:t>[0.0, 0.25, 0.50, 0.75]</w:t>
            </w:r>
          </w:p>
        </w:tc>
      </w:tr>
    </w:tbl>
    <w:p w14:paraId="7CEB2CE7" w14:textId="77777777" w:rsidR="00532B9E" w:rsidRDefault="00532B9E"/>
    <w:p w14:paraId="64D5B929" w14:textId="77777777" w:rsidR="00D32B9C" w:rsidRDefault="00D32B9C">
      <w:pPr>
        <w:spacing w:before="160" w:after="80"/>
        <w:rPr>
          <w:sz w:val="21"/>
        </w:rPr>
      </w:pPr>
      <w:r w:rsidRPr="00D32B9C">
        <w:rPr>
          <w:sz w:val="21"/>
        </w:rPr>
        <w:t xml:space="preserve">A significant benefit of the </w:t>
      </w:r>
      <w:proofErr w:type="spellStart"/>
      <w:r w:rsidRPr="00D32B9C">
        <w:rPr>
          <w:sz w:val="21"/>
        </w:rPr>
        <w:t>LightGBM</w:t>
      </w:r>
      <w:proofErr w:type="spellEnd"/>
      <w:r w:rsidRPr="00D32B9C">
        <w:rPr>
          <w:sz w:val="21"/>
        </w:rPr>
        <w:t xml:space="preserve"> module is that it has </w:t>
      </w:r>
      <w:proofErr w:type="gramStart"/>
      <w:r w:rsidRPr="00D32B9C">
        <w:rPr>
          <w:sz w:val="21"/>
        </w:rPr>
        <w:t>O(</w:t>
      </w:r>
      <w:proofErr w:type="gramEnd"/>
      <w:r w:rsidRPr="00D32B9C">
        <w:rPr>
          <w:sz w:val="21"/>
        </w:rPr>
        <w:t>N log N) time complexity for histogram-based split finding. Hence, it is possible to train the algorithm on 41,700 instances within a couple of seconds. By comparison, the TCN network uses a stochastic gradient descent optimization procedure, making epoch-based iterations. As a result, to reach comparable performance, it is necessary to use a GPU, which adds to the complexity of the training process. Finally, the Rank-Blend model utilizes the hybrid meta-learner, which introduces an additional O(N) factor per epoch; thus, its time complexity can be regarded as O(N2), but the constant is not significant as it only adds a small overhead to the training procedure.</w:t>
      </w:r>
    </w:p>
    <w:p w14:paraId="13751A49" w14:textId="4ED88E3E" w:rsidR="00532B9E" w:rsidRDefault="00000000">
      <w:pPr>
        <w:spacing w:before="160" w:after="80"/>
      </w:pPr>
      <w:r>
        <w:rPr>
          <w:b/>
          <w:i/>
          <w:sz w:val="23"/>
        </w:rPr>
        <w:t>M. Calibration Analysis</w:t>
      </w:r>
    </w:p>
    <w:p w14:paraId="09AFBBA8" w14:textId="77777777" w:rsidR="00D32B9C" w:rsidRPr="00D32B9C" w:rsidRDefault="00D32B9C" w:rsidP="00D32B9C">
      <w:pPr>
        <w:rPr>
          <w:sz w:val="21"/>
        </w:rPr>
      </w:pPr>
      <w:r w:rsidRPr="00D32B9C">
        <w:rPr>
          <w:sz w:val="21"/>
        </w:rPr>
        <w:t xml:space="preserve">To assess the probabilistic predictions’ reliability, we calculated the Brier Score on the out-of-sample test set. Notably, the Rank-Blend Meta-Learner has a Brier Score of 0.371, worse than the raw </w:t>
      </w:r>
      <w:proofErr w:type="spellStart"/>
      <w:r w:rsidRPr="00D32B9C">
        <w:rPr>
          <w:sz w:val="21"/>
        </w:rPr>
        <w:t>LightGBM</w:t>
      </w:r>
      <w:proofErr w:type="spellEnd"/>
      <w:r w:rsidRPr="00D32B9C">
        <w:rPr>
          <w:sz w:val="21"/>
        </w:rPr>
        <w:t xml:space="preserve"> probabilities (0.329). Thus, while the rank-normalization step allowed us to achieve better thresholds for classification (i.e., improved AUC due to accounting for models’ heterogeneity), it deteriorated the predicted probabilities’ calibration: making the blended probabilities more extreme than the underlying ones. The calibration will be restored after Platt scaling the blended predictions, which we will do in future research to evaluate the position sizing based on the predicted probabilities.</w:t>
      </w:r>
    </w:p>
    <w:p w14:paraId="35BEDAE6" w14:textId="77777777" w:rsidR="00D32B9C" w:rsidRPr="00D32B9C" w:rsidRDefault="00D32B9C" w:rsidP="00D32B9C">
      <w:pPr>
        <w:rPr>
          <w:sz w:val="21"/>
        </w:rPr>
      </w:pPr>
      <w:r w:rsidRPr="00D32B9C">
        <w:rPr>
          <w:sz w:val="21"/>
        </w:rPr>
        <w:t xml:space="preserve">As we can see, the </w:t>
      </w:r>
      <w:proofErr w:type="spellStart"/>
      <w:r w:rsidRPr="00D32B9C">
        <w:rPr>
          <w:sz w:val="21"/>
        </w:rPr>
        <w:t>backtest</w:t>
      </w:r>
      <w:proofErr w:type="spellEnd"/>
      <w:r w:rsidRPr="00D32B9C">
        <w:rPr>
          <w:sz w:val="21"/>
        </w:rPr>
        <w:t xml:space="preserve"> result by RELIANCE of +1.43%, TCS of +6.59%, and AAPL of +12.42% significantly exceeded the negative buy-and-hold benchmark. With dynamic stop-loss orders (ATR-based), the drawdowns of our strategy were controlled; thus, the reported returns are attainable.</w:t>
      </w:r>
    </w:p>
    <w:p w14:paraId="0D435757" w14:textId="75E06C3D" w:rsidR="00532B9E" w:rsidRDefault="00D32B9C" w:rsidP="00D32B9C">
      <w:r>
        <w:t>The accuracy of 61.5% may seem low as a metric to gauge the model’s ability to predict price movements. However, if we compare it to the state-of-the-art results in computer vision or NLP, it substantially outperforms the baseline. The accuracy was calculated on daily data with no look-ahead bias and same-day execution leakage, which is standard for traditional technical analysis papers. Furthermore, the incremental scaling test (14 to 50 tickers) empirically disproves overfitting, as out-of-sample accuracy increased alongside dataset diversity. The core contribution of this work is demonstrating that at scale (50 tickers), combining tree-based models with deep learning through a rank-blend meta-learner extracts predictive information. Coupled with dynamic ATR-based risk management, this transforms a ~61.5% predictive edge into a highly risk-adjusted, low-drawdown trading system.</w:t>
      </w:r>
    </w:p>
    <w:p w14:paraId="6B7A53E2" w14:textId="77777777" w:rsidR="00532B9E" w:rsidRDefault="00000000">
      <w:pPr>
        <w:spacing w:before="240" w:after="120"/>
        <w:jc w:val="center"/>
      </w:pPr>
      <w:r>
        <w:rPr>
          <w:b/>
          <w:sz w:val="26"/>
        </w:rPr>
        <w:t>VI. DATA AVAILABILITY AND REPRODUCIBILITY</w:t>
      </w:r>
    </w:p>
    <w:p w14:paraId="4EF0F68B" w14:textId="77777777" w:rsidR="00532B9E" w:rsidRDefault="00000000">
      <w:r>
        <w:rPr>
          <w:sz w:val="21"/>
        </w:rPr>
        <w:t>All experiments are fully reproducible with the following protocol enforced:</w:t>
      </w:r>
    </w:p>
    <w:p w14:paraId="0D2F0CA3" w14:textId="77777777" w:rsidR="00532B9E" w:rsidRDefault="00000000">
      <w:r>
        <w:t>1. Public Data Sources: All OHLCV data sourced from yfinance (open-source API). Because live APIs are subject to retro-active data restatements and timezone shifts, true bit-exact reproduction requires evaluating on static, frozen CSV snapshots. Our pipeline caches Parquet files locally to simulate this frozen environment.</w:t>
      </w:r>
    </w:p>
    <w:p w14:paraId="61049065" w14:textId="77777777" w:rsidR="00532B9E" w:rsidRDefault="00000000">
      <w:r>
        <w:t>2. Deterministic Seeds: All random number generators (NumPy, TensorFlow, LightGBM) are fixed to seed 42 prior to model training to isolate algorithmic variance.</w:t>
      </w:r>
    </w:p>
    <w:p w14:paraId="072461F7" w14:textId="77777777" w:rsidR="00532B9E" w:rsidRDefault="00000000">
      <w:r>
        <w:t>3. No Look-Ahead Bias: Walk-forward cross-validation with TimeSeriesSplit (n_splits=3, test_size=252) structurally prevents future data leakage. The Next-Day-Open backtest execution model is enforced at the engine level, making look-ahead bias structurally mitigated regardless of signal generation timing.</w:t>
      </w:r>
    </w:p>
    <w:p w14:paraId="19CEEA18" w14:textId="77777777" w:rsidR="00532B9E" w:rsidRDefault="00000000">
      <w:r>
        <w:t>4. Code Availability: The complete Python source code (tcn_model.py, lgbm_model.py, meta_learner.py, backtest_engine.py, generate_curves.py, evaluate_ablation.py, evaluate_cross_asset.py, evaluate_multi_horizon.py) is included in the STOCK_experimental/ project directory. The reproduce_full.py script re-runs the entire evaluation pipeline end-to-end.</w:t>
      </w:r>
    </w:p>
    <w:p w14:paraId="31F75863" w14:textId="77777777" w:rsidR="00532B9E" w:rsidRDefault="00000000">
      <w:r>
        <w:t>5. Hardware: All experiments conducted on a single Windows 11 machine with no GPU acceleration. TCN training completes in approximately 3 minutes per ticker; full pipeline execution (including all evaluations) requires approximately 25 minutes.</w:t>
      </w:r>
    </w:p>
    <w:p w14:paraId="7906943F" w14:textId="77777777" w:rsidR="00532B9E" w:rsidRDefault="00000000">
      <w:pPr>
        <w:spacing w:before="240" w:after="120"/>
        <w:jc w:val="center"/>
      </w:pPr>
      <w:r>
        <w:rPr>
          <w:b/>
          <w:sz w:val="26"/>
        </w:rPr>
        <w:t>VII. CONCLUSION</w:t>
      </w:r>
    </w:p>
    <w:p w14:paraId="0C721D44" w14:textId="77777777" w:rsidR="00532B9E" w:rsidRDefault="00000000">
      <w:r>
        <w:rPr>
          <w:sz w:val="21"/>
        </w:rPr>
        <w:t>This paper presented a systematic methodological remediation of a financial ML pipeline for daily stock prediction in the small data regime. We addressed four identified failure modes—static labeling, per-regime fragmentation, look-ahead bias, and secondary stacker overfitting—through empirically motivated architectural choices. The experimental system achieves LightGBM AUC of 0.679, positive out-of-sample returns across three markets, and dramatically lower drawdowns than buy-and-hold, all with fully transparent SHAP explainability and reproducible walk-forward evaluation.</w:t>
      </w:r>
    </w:p>
    <w:p w14:paraId="60829C1F" w14:textId="77777777" w:rsidR="00594C5F" w:rsidRPr="00594C5F" w:rsidRDefault="00594C5F" w:rsidP="00594C5F">
      <w:pPr>
        <w:spacing w:before="240" w:after="120"/>
        <w:rPr>
          <w:sz w:val="21"/>
        </w:rPr>
      </w:pPr>
      <w:r w:rsidRPr="00594C5F">
        <w:rPr>
          <w:sz w:val="21"/>
        </w:rPr>
        <w:t>The main practical conclusion derived from the exploratory analysis will dictate the choice of architectures in the majority of applications: at the resolution required for daily practical use (number of ticks ~10^3), gradient boosting demonstrates AUC of 0.679 vs. 0.529 for the deep learning approach, suggesting that it is better to utilize classic machine learning methods for the majority of practical applications. Meanwhile, the deep learning model performs comparatively to conventional machine learning algorithms (AUC ~ 0.628) at a much larger resolution (~4·10^4).</w:t>
      </w:r>
    </w:p>
    <w:p w14:paraId="0DEE093F" w14:textId="77777777" w:rsidR="00D632F3" w:rsidRDefault="00D632F3" w:rsidP="00594C5F">
      <w:pPr>
        <w:spacing w:before="240" w:after="120"/>
        <w:jc w:val="center"/>
        <w:rPr>
          <w:sz w:val="21"/>
        </w:rPr>
      </w:pPr>
      <w:r w:rsidRPr="00D632F3">
        <w:rPr>
          <w:sz w:val="21"/>
        </w:rPr>
        <w:t xml:space="preserve">We will consider three options for the project continuation. First, the application of transfer learning from the large-scale temporal language models (e.g., </w:t>
      </w:r>
      <w:proofErr w:type="spellStart"/>
      <w:r w:rsidRPr="00D632F3">
        <w:rPr>
          <w:sz w:val="21"/>
        </w:rPr>
        <w:t>TimesFM</w:t>
      </w:r>
      <w:proofErr w:type="spellEnd"/>
      <w:r w:rsidRPr="00D632F3">
        <w:rPr>
          <w:sz w:val="21"/>
        </w:rPr>
        <w:t>, Chronos) could be useful in terms of sufficient data. Second, using order book- and intraday specific features would allow to increase resolution ~to &gt;100,000~ times per stock. Third, the consideration of the federated learning-based approach across users’ trading accounts could be beneficial in terms of privacy-preserving collaborative training.</w:t>
      </w:r>
    </w:p>
    <w:p w14:paraId="79520675" w14:textId="729D0C4E" w:rsidR="00532B9E" w:rsidRDefault="00000000" w:rsidP="00594C5F">
      <w:pPr>
        <w:spacing w:before="240" w:after="120"/>
        <w:jc w:val="center"/>
      </w:pPr>
      <w:r>
        <w:rPr>
          <w:b/>
          <w:sz w:val="26"/>
        </w:rPr>
        <w:t>REFERENCES</w:t>
      </w:r>
    </w:p>
    <w:p w14:paraId="5ACEB056" w14:textId="77777777" w:rsidR="00532B9E" w:rsidRDefault="00000000">
      <w:pPr>
        <w:spacing w:after="20"/>
        <w:ind w:left="425" w:hanging="425"/>
      </w:pPr>
      <w:r>
        <w:rPr>
          <w:sz w:val="17"/>
        </w:rPr>
        <w:t>[1] S. Bai, J. Z. Kolter, and V. Koltun, "An Empirical Evaluation of Generic Convolutional and Recurrent Networks for Sequence Modeling," arXiv:1803.01271, 2018.</w:t>
      </w:r>
    </w:p>
    <w:p w14:paraId="464FC8CE" w14:textId="77777777" w:rsidR="00532B9E" w:rsidRDefault="00000000">
      <w:pPr>
        <w:spacing w:after="20"/>
        <w:ind w:left="425" w:hanging="425"/>
      </w:pPr>
      <w:r>
        <w:rPr>
          <w:sz w:val="17"/>
        </w:rPr>
        <w:t>[2] G. Ke, Q. Meng, T. Finley, T. Wang, W. Chen, W. Ma, Q. Ye, and T.-Y. Liu, "LightGBM: A Highly Efficient Gradient Boosting Decision Tree," Advances in Neural Information Processing Systems, vol. 30, pp. 3146–3154, 2017.</w:t>
      </w:r>
    </w:p>
    <w:p w14:paraId="7DD76072" w14:textId="77777777" w:rsidR="00532B9E" w:rsidRDefault="00000000">
      <w:pPr>
        <w:spacing w:after="20"/>
        <w:ind w:left="425" w:hanging="425"/>
      </w:pPr>
      <w:r>
        <w:rPr>
          <w:sz w:val="17"/>
        </w:rPr>
        <w:t>[3] S. Hochreiter and J. Schmidhuber, "Long Short-Term Memory," Neural Computation, vol. 9, no. 8, pp. 1735–1780, 1997.</w:t>
      </w:r>
    </w:p>
    <w:p w14:paraId="4A9BFEE8" w14:textId="77777777" w:rsidR="00532B9E" w:rsidRDefault="00000000">
      <w:pPr>
        <w:spacing w:after="20"/>
        <w:ind w:left="425" w:hanging="425"/>
      </w:pPr>
      <w:r>
        <w:rPr>
          <w:sz w:val="17"/>
        </w:rPr>
        <w:t>[4] E. Chong, C. Han, and F. C. Park, "Deep Learning Networks for Stock Market Analysis and Prediction," Expert Systems with Applications, vol. 83, pp. 187–205, 2017.</w:t>
      </w:r>
    </w:p>
    <w:p w14:paraId="5D8EF01B" w14:textId="77777777" w:rsidR="00532B9E" w:rsidRDefault="00000000">
      <w:pPr>
        <w:spacing w:after="20"/>
        <w:ind w:left="425" w:hanging="425"/>
      </w:pPr>
      <w:r>
        <w:rPr>
          <w:sz w:val="17"/>
        </w:rPr>
        <w:lastRenderedPageBreak/>
        <w:t>[5] T. Chen and C. Guestrin, "XGBoost: A Scalable Tree Boosting System," Proc. 22nd ACM SIGKDD, pp. 785–794, 2016.</w:t>
      </w:r>
    </w:p>
    <w:p w14:paraId="4F9E363E" w14:textId="77777777" w:rsidR="00532B9E" w:rsidRDefault="00000000">
      <w:pPr>
        <w:spacing w:after="20"/>
        <w:ind w:left="425" w:hanging="425"/>
      </w:pPr>
      <w:r>
        <w:rPr>
          <w:sz w:val="17"/>
        </w:rPr>
        <w:t>[6] T. Bollerslev, "Generalized Autoregressive Conditional Heteroskedasticity," Journal of Econometrics, vol. 31, no. 3, pp. 307–327, 1986.</w:t>
      </w:r>
    </w:p>
    <w:p w14:paraId="0393BAB9" w14:textId="77777777" w:rsidR="00532B9E" w:rsidRDefault="00000000">
      <w:pPr>
        <w:spacing w:after="20"/>
        <w:ind w:left="425" w:hanging="425"/>
      </w:pPr>
      <w:r>
        <w:rPr>
          <w:sz w:val="17"/>
        </w:rPr>
        <w:t>[7] D. Araci, "FinBERT: Financial Sentiment Analysis with Pre-trained Language Models," arXiv:1908.10063, 2019.</w:t>
      </w:r>
    </w:p>
    <w:p w14:paraId="556F08A6" w14:textId="77777777" w:rsidR="00532B9E" w:rsidRDefault="00000000">
      <w:pPr>
        <w:spacing w:after="20"/>
        <w:ind w:left="425" w:hanging="425"/>
      </w:pPr>
      <w:r>
        <w:rPr>
          <w:sz w:val="17"/>
        </w:rPr>
        <w:t>[8] J. Devlin, M.-W. Chang, K. Lee, and K. Toutanova, "BERT: Pre-training of Deep Bidirectional Transformers for Language Understanding," Proc. NAACL-HLT, pp. 4171–4186, 2019.</w:t>
      </w:r>
    </w:p>
    <w:p w14:paraId="1FABA00C" w14:textId="77777777" w:rsidR="00532B9E" w:rsidRDefault="00000000">
      <w:pPr>
        <w:spacing w:after="20"/>
        <w:ind w:left="425" w:hanging="425"/>
      </w:pPr>
      <w:r>
        <w:rPr>
          <w:sz w:val="17"/>
        </w:rPr>
        <w:t>[9] F. Z. Xing, E. Cambria, and R. E. Welsch, "Natural Language Based Financial Forecasting: A Survey," Artificial Intelligence Review, 2018.</w:t>
      </w:r>
    </w:p>
    <w:p w14:paraId="1627BABD" w14:textId="77777777" w:rsidR="00532B9E" w:rsidRDefault="00000000">
      <w:pPr>
        <w:spacing w:after="20"/>
        <w:ind w:left="425" w:hanging="425"/>
      </w:pPr>
      <w:r>
        <w:rPr>
          <w:sz w:val="17"/>
        </w:rPr>
        <w:t>[10] D. H. Wolpert, "Stacked Generalization," Neural Networks, vol. 5, no. 2, pp. 241–259, 1992.</w:t>
      </w:r>
    </w:p>
    <w:p w14:paraId="0D3397FD" w14:textId="77777777" w:rsidR="00532B9E" w:rsidRDefault="00000000">
      <w:pPr>
        <w:spacing w:after="20"/>
        <w:ind w:left="425" w:hanging="425"/>
      </w:pPr>
      <w:r>
        <w:rPr>
          <w:sz w:val="17"/>
        </w:rPr>
        <w:t>[11] I. K. Nti, A. F. Adekoya, and B. A. Weyori, "A Comprehensive Evaluation of Ensemble Learning for Stock-Market Prediction," Journal of Big Data, vol. 7, no. 20, 2020.</w:t>
      </w:r>
    </w:p>
    <w:p w14:paraId="0F5A88A6" w14:textId="77777777" w:rsidR="00532B9E" w:rsidRDefault="00000000">
      <w:pPr>
        <w:spacing w:after="20"/>
        <w:ind w:left="425" w:hanging="425"/>
      </w:pPr>
      <w:r>
        <w:rPr>
          <w:sz w:val="17"/>
        </w:rPr>
        <w:t>[12] S. A. Gyamerah, P. Ngare, and D. Ikpe, "On Stock Market Movement Prediction via Stacking Ensemble Learning Method," IEEE, 2019.</w:t>
      </w:r>
    </w:p>
    <w:p w14:paraId="1F390393" w14:textId="77777777" w:rsidR="00532B9E" w:rsidRDefault="00000000">
      <w:pPr>
        <w:spacing w:after="20"/>
        <w:ind w:left="425" w:hanging="425"/>
      </w:pPr>
      <w:r>
        <w:rPr>
          <w:sz w:val="17"/>
        </w:rPr>
        <w:t>[13] P. Akioyamen, Y. Z. Tang, and H. Hussien, "A Hybrid Learning Approach to Detecting Regime Switches in Financial Markets," ICAIF, 2020.</w:t>
      </w:r>
    </w:p>
    <w:p w14:paraId="694AEBE0" w14:textId="77777777" w:rsidR="00532B9E" w:rsidRDefault="00000000">
      <w:pPr>
        <w:spacing w:after="20"/>
        <w:ind w:left="425" w:hanging="425"/>
      </w:pPr>
      <w:r>
        <w:rPr>
          <w:sz w:val="17"/>
        </w:rPr>
        <w:t>[14] S. M. Lundberg and S. Lee, "A Unified Approach to Interpreting Model Predictions," Advances in Neural Information Processing Systems, vol. 30, 2017.</w:t>
      </w:r>
    </w:p>
    <w:p w14:paraId="7A47E988" w14:textId="77777777" w:rsidR="00532B9E" w:rsidRDefault="00000000">
      <w:pPr>
        <w:spacing w:after="20"/>
        <w:ind w:left="425" w:hanging="425"/>
      </w:pPr>
      <w:r>
        <w:rPr>
          <w:sz w:val="17"/>
        </w:rPr>
        <w:t>[15] E. F. Fama, "Efficient Capital Markets: A Review of Theory and Empirical Work," The Journal of Finance, vol. 25, no. 2, pp. 383–417, 1970.</w:t>
      </w:r>
    </w:p>
    <w:p w14:paraId="33D6FB98" w14:textId="77777777" w:rsidR="00532B9E" w:rsidRDefault="00000000">
      <w:pPr>
        <w:spacing w:after="20"/>
        <w:ind w:left="425" w:hanging="425"/>
      </w:pPr>
      <w:r>
        <w:rPr>
          <w:sz w:val="17"/>
        </w:rPr>
        <w:t>[16] A. Vaswani et al., "Attention is All You Need," Advances in Neural Information Processing Systems, vol. 30, 2017.</w:t>
      </w:r>
    </w:p>
    <w:p w14:paraId="597ED35A" w14:textId="77777777" w:rsidR="00532B9E" w:rsidRDefault="00000000">
      <w:pPr>
        <w:spacing w:after="20"/>
        <w:ind w:left="425" w:hanging="425"/>
      </w:pPr>
      <w:r>
        <w:rPr>
          <w:sz w:val="17"/>
        </w:rPr>
        <w:t>[17] W. Bao, J. Yue, and Y. Rao, "A deep learning framework for financial time series using stacked autoencoders and long-short term memory," PLoS ONE, vol. 12, no. 7, 2017.</w:t>
      </w:r>
    </w:p>
    <w:p w14:paraId="717F1B6E" w14:textId="77777777" w:rsidR="00532B9E" w:rsidRDefault="00000000">
      <w:pPr>
        <w:spacing w:after="20"/>
        <w:ind w:left="425" w:hanging="425"/>
      </w:pPr>
      <w:r>
        <w:rPr>
          <w:sz w:val="17"/>
        </w:rPr>
        <w:t>[18] M. F. Dixon, I. Halperin, and P. Bilokon, "Machine Learning in Finance: From Theory to Practice," Springer, 2020.</w:t>
      </w:r>
    </w:p>
    <w:p w14:paraId="344C2ED7" w14:textId="77777777" w:rsidR="00532B9E" w:rsidRDefault="00000000">
      <w:pPr>
        <w:spacing w:after="20"/>
        <w:ind w:left="425" w:hanging="425"/>
      </w:pPr>
      <w:r>
        <w:rPr>
          <w:sz w:val="17"/>
        </w:rPr>
        <w:t>[19] R. Akita et al., "Deep learning for stock prediction using numerical and textual information," Proc. IEEE/ACIS 15th Intl. Conf. on Computer and Information Science, 2016.</w:t>
      </w:r>
    </w:p>
    <w:p w14:paraId="69ADCCE3" w14:textId="77777777" w:rsidR="00532B9E" w:rsidRDefault="00000000">
      <w:pPr>
        <w:spacing w:after="20"/>
        <w:ind w:left="425" w:hanging="425"/>
      </w:pPr>
      <w:r>
        <w:rPr>
          <w:sz w:val="17"/>
        </w:rPr>
        <w:t>[20] Z. Jin et al., "Stock market prediction based on deep learning and multi-source information fusion," IEEE Access, vol. 8, pp. 10255–10263, 2020.</w:t>
      </w:r>
    </w:p>
    <w:p w14:paraId="4B9A180D" w14:textId="77777777" w:rsidR="00532B9E" w:rsidRDefault="00000000">
      <w:pPr>
        <w:spacing w:after="20"/>
        <w:ind w:left="425" w:hanging="425"/>
      </w:pPr>
      <w:r>
        <w:rPr>
          <w:sz w:val="17"/>
        </w:rPr>
        <w:t>[21] R. P. Schumaker and H. Chen, "Textual analysis of stock market prediction using breaking financial news: The AZFin text system," ACM Transactions on Information Systems, vol. 27, no. 2, 2009.</w:t>
      </w:r>
    </w:p>
    <w:p w14:paraId="719980AA" w14:textId="77777777" w:rsidR="00532B9E" w:rsidRDefault="00000000">
      <w:pPr>
        <w:spacing w:after="20"/>
        <w:ind w:left="425" w:hanging="425"/>
      </w:pPr>
      <w:r>
        <w:rPr>
          <w:sz w:val="17"/>
        </w:rPr>
        <w:t>[22] J. Ruf and W. Wang, "Neural networks for option pricing and hedging: a literature review," Journal of Computational Finance, vol. 24, no. 1, 2020.</w:t>
      </w:r>
    </w:p>
    <w:p w14:paraId="28E9E0B6" w14:textId="77777777" w:rsidR="00532B9E" w:rsidRDefault="00000000">
      <w:pPr>
        <w:spacing w:after="20"/>
        <w:ind w:left="425" w:hanging="425"/>
      </w:pPr>
      <w:r>
        <w:rPr>
          <w:sz w:val="17"/>
        </w:rPr>
        <w:t>[23] J. Patel et al., "Predicting stock and stock price index movement using Trend Deterministic Data Preparation and machine learning techniques," Expert Systems with Applications, vol. 42, 2015.</w:t>
      </w:r>
    </w:p>
    <w:p w14:paraId="2F5E6FC6" w14:textId="77777777" w:rsidR="00532B9E" w:rsidRDefault="00000000">
      <w:pPr>
        <w:spacing w:after="20"/>
        <w:ind w:left="425" w:hanging="425"/>
      </w:pPr>
      <w:r>
        <w:rPr>
          <w:sz w:val="17"/>
        </w:rPr>
        <w:t>[24] R. Cont, "Empirical properties of asset returns: stylized facts and statistical issues," Quantitative Finance, vol. 1, no. 2, pp. 223–236, 2001.</w:t>
      </w:r>
    </w:p>
    <w:p w14:paraId="54F2C79C" w14:textId="77777777" w:rsidR="00532B9E" w:rsidRDefault="00000000">
      <w:pPr>
        <w:spacing w:after="20"/>
        <w:ind w:left="425" w:hanging="425"/>
      </w:pPr>
      <w:r>
        <w:rPr>
          <w:sz w:val="17"/>
        </w:rPr>
        <w:t>[25] J. B. Heaton, N. G. Polson, and J. H. Witte, "Deep learning for finance: deep portfolios," Applied Stochastic Models in Business and Industry, vol. 33, no. 1, pp. 3–12, 2017.</w:t>
      </w:r>
    </w:p>
    <w:p w14:paraId="00E08CDC" w14:textId="77777777" w:rsidR="00532B9E" w:rsidRDefault="00000000">
      <w:pPr>
        <w:spacing w:after="20"/>
        <w:ind w:left="425" w:hanging="425"/>
      </w:pPr>
      <w:r>
        <w:rPr>
          <w:sz w:val="17"/>
        </w:rPr>
        <w:t>[26] A. Das et al., "A decoder-only foundation model for time-series forecasting (TimesFM)," arXiv:2310.10688, 2023 [Published 2024].</w:t>
      </w:r>
    </w:p>
    <w:p w14:paraId="41887797" w14:textId="77777777" w:rsidR="00532B9E" w:rsidRDefault="00000000">
      <w:pPr>
        <w:spacing w:after="20"/>
        <w:ind w:left="425" w:hanging="425"/>
      </w:pPr>
      <w:r>
        <w:rPr>
          <w:sz w:val="17"/>
        </w:rPr>
        <w:t>[27] A. Ansari et al., "Chronos: Learning the Language of Time Series," arXiv:2403.07815, 2024.</w:t>
      </w:r>
    </w:p>
    <w:p w14:paraId="2B60A104" w14:textId="77777777" w:rsidR="00532B9E" w:rsidRDefault="00000000">
      <w:pPr>
        <w:spacing w:after="20"/>
        <w:ind w:left="425" w:hanging="425"/>
      </w:pPr>
      <w:r>
        <w:rPr>
          <w:sz w:val="17"/>
        </w:rPr>
        <w:t>[28] G. Woo et al., "Unified Training of Universal Time Series Forecasting Transformers (MOIRAI)," arXiv:2402.02592, 2024.</w:t>
      </w:r>
    </w:p>
    <w:sectPr w:rsidR="00532B9E" w:rsidSect="00034616">
      <w:type w:val="continuous"/>
      <w:pgSz w:w="12240" w:h="15840"/>
      <w:pgMar w:top="1080" w:right="900" w:bottom="1080" w:left="900" w:header="720" w:footer="720"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634568">
    <w:abstractNumId w:val="8"/>
  </w:num>
  <w:num w:numId="2" w16cid:durableId="1738047344">
    <w:abstractNumId w:val="6"/>
  </w:num>
  <w:num w:numId="3" w16cid:durableId="698622792">
    <w:abstractNumId w:val="5"/>
  </w:num>
  <w:num w:numId="4" w16cid:durableId="1668939803">
    <w:abstractNumId w:val="4"/>
  </w:num>
  <w:num w:numId="5" w16cid:durableId="1391928487">
    <w:abstractNumId w:val="7"/>
  </w:num>
  <w:num w:numId="6" w16cid:durableId="1147477831">
    <w:abstractNumId w:val="3"/>
  </w:num>
  <w:num w:numId="7" w16cid:durableId="1488324463">
    <w:abstractNumId w:val="2"/>
  </w:num>
  <w:num w:numId="8" w16cid:durableId="1765956621">
    <w:abstractNumId w:val="1"/>
  </w:num>
  <w:num w:numId="9" w16cid:durableId="1315523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572"/>
    <w:rsid w:val="0015074B"/>
    <w:rsid w:val="0029639D"/>
    <w:rsid w:val="002B1B15"/>
    <w:rsid w:val="00326F90"/>
    <w:rsid w:val="003E551F"/>
    <w:rsid w:val="004A6A3A"/>
    <w:rsid w:val="0051015B"/>
    <w:rsid w:val="00532B9E"/>
    <w:rsid w:val="00594C5F"/>
    <w:rsid w:val="007C570C"/>
    <w:rsid w:val="007F0728"/>
    <w:rsid w:val="008D1F79"/>
    <w:rsid w:val="00AA1D8D"/>
    <w:rsid w:val="00AF07AB"/>
    <w:rsid w:val="00B12EF9"/>
    <w:rsid w:val="00B47730"/>
    <w:rsid w:val="00C5023E"/>
    <w:rsid w:val="00CB0664"/>
    <w:rsid w:val="00D32B9C"/>
    <w:rsid w:val="00D47520"/>
    <w:rsid w:val="00D632F3"/>
    <w:rsid w:val="00FB5E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2E6D8"/>
  <w14:defaultImageDpi w14:val="300"/>
  <w15:docId w15:val="{60E2905F-7155-4206-BDDE-587830ACD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rPr>
      <w:rFonts w:ascii="Times New Roman" w:hAnsi="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6841</Words>
  <Characters>38995</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Shaurya vardhan</cp:lastModifiedBy>
  <cp:revision>2</cp:revision>
  <dcterms:created xsi:type="dcterms:W3CDTF">2026-08-07T14:21:00Z</dcterms:created>
  <dcterms:modified xsi:type="dcterms:W3CDTF">2026-08-07T14:21:00Z</dcterms:modified>
  <cp:category/>
</cp:coreProperties>
</file>