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Predictor Upgrade Documentation</w:t>
      </w:r>
    </w:p>
    <w:p>
      <w:pPr>
        <w:pStyle w:val="Heading1"/>
      </w:pPr>
      <w:r>
        <w:t>1. Overview</w:t>
      </w:r>
    </w:p>
    <w:p>
      <w:r>
        <w:t>This document summarizes the upgrades made to the Spanish Grid Demand Forecasting model. The goal of this phase was to transition from a basic proof-of-concept into a highly accurate, research-grade predictor capable of capturing complex spatial and temporal grid dynamics.</w:t>
      </w:r>
    </w:p>
    <w:p>
      <w:pPr>
        <w:pStyle w:val="Heading1"/>
      </w:pPr>
      <w:r>
        <w:t>2. Advanced Architecture (GAT)</w:t>
      </w:r>
    </w:p>
    <w:p>
      <w:r>
        <w:t>We upgraded the core architecture from standard Graph Convolutional Networks (GCN) to Graph Attention Networks (GAT). A GAT does not just blindly average the demand of neighboring regions; it uses multiple "attention heads" to dynamically learn which transmission connections are most important at any given hour. This spatial layer is followed by a robust recurrent temporal encoder (LSTM) to predict 24 hours into the future.</w:t>
      </w:r>
    </w:p>
    <w:p>
      <w:pPr>
        <w:pStyle w:val="Heading1"/>
      </w:pPr>
      <w:r>
        <w:t>3. Data Pipeline Enrichment</w:t>
      </w:r>
    </w:p>
    <w:p>
      <w:r>
        <w:t>The dataset was heavily enriched. Rather than predicting demand purely based on past demand, the system now automatically loads and merges 19 regional weather datasets. The features now include:</w:t>
        <w:br/>
        <w:t>- Regional Electricity Demand (MW)</w:t>
        <w:br/>
        <w:t>- Temperature (2m)</w:t>
        <w:br/>
        <w:t>- Relative Humidity (2m)</w:t>
        <w:br/>
        <w:t>- Wind Speed (10m)</w:t>
        <w:br/>
        <w:t>- Solar Shortwave Radiation</w:t>
        <w:br/>
        <w:t>- Temporal Cyclical Encodings (sine/cosine curves mapping the hour of the day and day of the week)</w:t>
      </w:r>
    </w:p>
    <w:p>
      <w:pPr>
        <w:pStyle w:val="Heading1"/>
      </w:pPr>
      <w:r>
        <w:t>4. Risk-Averse Tuning (Asymmetric Loss)</w:t>
      </w:r>
    </w:p>
    <w:p>
      <w:r>
        <w:t>In a physical power grid, over-predicting demand wastes fuel, but under-predicting demand causes blackouts. To ensure grid safety, we implemented a custom Asymmetric Loss function during fine-tuning. This function penalizes the AI 10 times harder if it under-predicts the electricity demand. This naturally forces the AI to skew slightly conservative and prioritize grid safety over abstract mathematical perfection.</w:t>
      </w:r>
    </w:p>
    <w:p>
      <w:pPr>
        <w:pStyle w:val="Heading1"/>
      </w:pPr>
      <w:r>
        <w:t>5. Validation Results &amp; Visual Proof</w:t>
      </w:r>
    </w:p>
    <w:p>
      <w:r>
        <w:t>The model was trained on 5 years of hourly data (2020-2024). It achieved a final validation RMSE of 0.0717, drastically outperforming both the persistence baseline (RMSE: 0.2476) and the original LSTM baseline (RMSE: 0.18).</w:t>
      </w:r>
    </w:p>
    <w:p>
      <w:r>
        <w:t>Below are four graphs generated by running the finalized model on completely unseen data from the test set (late 2024). These samples cover Spring, Summer, Autumn, and Winter seasons.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2024-04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Forecast vs Actual Demand for Madrid (2024-04-06)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2024-06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Forecast vs Actual Demand for Madrid (2024-06-24)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2024-09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Forecast vs Actual Demand for Madrid (2024-09-15)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2024-12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Forecast vs Actual Demand for Madrid (2024-12-07)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