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40" w:before="0" w:line="276" w:lineRule="auto"/>
        <w:jc w:val="center"/>
      </w:pPr>
      <w:r>
        <w:rPr>
          <w:b/>
          <w:color w:val="1F3864"/>
          <w:sz w:val="80"/>
        </w:rPr>
        <w:t>EquityLens</w:t>
      </w:r>
    </w:p>
    <w:p>
      <w:pPr>
        <w:spacing w:after="80" w:before="80" w:line="276" w:lineRule="auto"/>
        <w:jc w:val="center"/>
      </w:pPr>
      <w:r>
        <w:rPr>
          <w:color w:val="2E5496"/>
          <w:sz w:val="32"/>
        </w:rPr>
        <w:t>How the Platform Works — Every Moving Part, in Plain English</w:t>
      </w:r>
    </w:p>
    <w:p>
      <w:pPr>
        <w:spacing w:after="200" w:before="120" w:line="276" w:lineRule="auto"/>
        <w:jc w:val="center"/>
        <w:pBdr>
          <w:bottom w:val="single" w:sz="8" w:space="4" w:color="C55A11"/>
        </w:pBdr>
      </w:pPr>
    </w:p>
    <w:p>
      <w:pPr>
        <w:spacing w:after="40" w:before="40" w:line="276" w:lineRule="auto"/>
        <w:jc w:val="center"/>
      </w:pPr>
      <w:r>
        <w:rPr>
          <w:i/>
          <w:color w:val="595959"/>
          <w:sz w:val="24"/>
        </w:rPr>
        <w:t>An AI-assisted equity research system that hunts stocks three different ways,</w:t>
      </w:r>
    </w:p>
    <w:p>
      <w:pPr>
        <w:spacing w:after="40" w:before="40" w:line="276" w:lineRule="auto"/>
        <w:jc w:val="center"/>
      </w:pPr>
      <w:r>
        <w:rPr>
          <w:i/>
          <w:color w:val="595959"/>
          <w:sz w:val="24"/>
        </w:rPr>
        <w:t>trades a paper portfolio automatically, and learns from every result.</w:t>
      </w:r>
    </w:p>
    <w:p/>
    <w:p/>
    <w:p/>
    <w:p/>
    <w:p/>
    <w:p/>
    <w:p>
      <w:pPr>
        <w:spacing w:after="40" w:before="0" w:line="276" w:lineRule="auto"/>
        <w:jc w:val="center"/>
      </w:pPr>
      <w:r>
        <w:rPr>
          <w:color w:val="595959"/>
          <w:sz w:val="22"/>
        </w:rPr>
        <w:t>Prepared for family — a behind-the-scenes tour</w:t>
      </w:r>
    </w:p>
    <w:p>
      <w:pPr>
        <w:spacing w:after="40" w:before="0" w:line="276" w:lineRule="auto"/>
        <w:jc w:val="center"/>
      </w:pPr>
      <w:r>
        <w:rPr>
          <w:color w:val="595959"/>
          <w:sz w:val="22"/>
        </w:rPr>
        <w:t>July 2026</w:t>
      </w:r>
    </w:p>
    <w:p>
      <w:r>
        <w:br w:type="page"/>
      </w:r>
    </w:p>
    <w:p>
      <w:pPr>
        <w:pStyle w:val="Heading1"/>
        <w:spacing w:before="320" w:after="140"/>
      </w:pPr>
      <w:r>
        <w:rPr>
          <w:rFonts w:ascii="Calibri" w:hAnsi="Calibri"/>
          <w:b/>
          <w:color w:val="1F3864"/>
          <w:sz w:val="34"/>
        </w:rPr>
        <w:t>Contents</w:t>
      </w:r>
    </w:p>
    <w:p>
      <w:r>
        <w:fldChar w:fldCharType="begin"/>
        <w:instrText xml:space="preserve">TOC \o "1-2" \h \z \u</w:instrText>
        <w:fldChar w:fldCharType="separate"/>
        <w:fldChar w:fldCharType="end"/>
      </w:r>
    </w:p>
    <w:p>
      <w:r>
        <w:rPr>
          <w:i/>
          <w:color w:val="595959"/>
          <w:sz w:val="17"/>
        </w:rPr>
        <w:t>(Right-click and choose “Update Field”, or reopen in Word, to fill page numbers.)</w:t>
      </w:r>
    </w:p>
    <w:p>
      <w:r>
        <w:br w:type="page"/>
      </w:r>
    </w:p>
    <w:p>
      <w:pPr>
        <w:pStyle w:val="Heading1"/>
        <w:spacing w:before="320" w:after="140"/>
      </w:pPr>
      <w:r>
        <w:rPr>
          <w:rFonts w:ascii="Calibri" w:hAnsi="Calibri"/>
          <w:b/>
          <w:color w:val="1F3864"/>
          <w:sz w:val="34"/>
        </w:rPr>
        <w:t>Read This First: The Whole Thing in One Page</w:t>
      </w:r>
    </w:p>
    <w:p>
      <w:pPr>
        <w:spacing w:after="120" w:before="0" w:line="276" w:lineRule="auto"/>
      </w:pPr>
      <w:r>
        <w:rPr>
          <w:b w:val="0"/>
        </w:rPr>
        <w:t xml:space="preserve">EquityLens is a stock-research platform. Think of it as a tireless team of analysts that wakes up every trading morning, studies roughly 450–1,000 companies, and decides which ones are worth buying, which to keep watching, and which to avoid. It then places those trades in a </w:t>
      </w:r>
      <w:r>
        <w:rPr>
          <w:b/>
        </w:rPr>
        <w:t>paper portfolio</w:t>
      </w:r>
      <w:r>
        <w:rPr>
          <w:b w:val="0"/>
        </w:rPr>
        <w:t xml:space="preserve"> — real prices, but pretend money — so we can build an honest track record before risking a single real dollar.</w:t>
      </w:r>
    </w:p>
    <w:p>
      <w:pPr>
        <w:spacing w:after="120" w:before="0" w:line="276" w:lineRule="auto"/>
      </w:pPr>
      <w:r>
        <w:rPr>
          <w:b w:val="0"/>
        </w:rPr>
        <w:t xml:space="preserve">It is important to say up front: </w:t>
      </w:r>
      <w:r>
        <w:rPr>
          <w:b/>
        </w:rPr>
        <w:t>the platform never sells anything short and never borrows to trade.</w:t>
      </w:r>
      <w:r>
        <w:rPr>
          <w:b w:val="0"/>
        </w:rPr>
        <w:t xml:space="preserve"> It only ever looks for stocks to *buy* and hold for a while. When this document says the system ‘shortlists’ stocks, it means it narrows a big list down to a few good candidates — not short-selling.</w:t>
      </w:r>
    </w:p>
    <w:p>
      <w:pPr>
        <w:spacing w:after="120" w:before="0" w:line="276" w:lineRule="auto"/>
      </w:pPr>
      <w:r>
        <w:rPr>
          <w:b w:val="0"/>
        </w:rPr>
        <w:t xml:space="preserve">The system hunts in </w:t>
      </w:r>
      <w:r>
        <w:rPr>
          <w:b/>
        </w:rPr>
        <w:t>three different styles at once</w:t>
      </w:r>
      <w:r>
        <w:rPr>
          <w:b w:val="0"/>
        </w:rPr>
        <w:t>, because different kinds of opportunity need different tools:</w:t>
      </w:r>
    </w:p>
    <w:p>
      <w:pPr>
        <w:pStyle w:val="ListBullet"/>
        <w:spacing w:after="60" w:line="264" w:lineRule="auto"/>
      </w:pPr>
      <w:r>
        <w:rPr>
          <w:b/>
        </w:rPr>
        <w:t>Long-term</w:t>
      </w:r>
      <w:r>
        <w:rPr>
          <w:b w:val="0"/>
        </w:rPr>
        <w:t xml:space="preserve"> — high-quality companies bought at a sensible price, meant to be held for months or years.</w:t>
      </w:r>
    </w:p>
    <w:p>
      <w:pPr>
        <w:pStyle w:val="ListBullet"/>
        <w:spacing w:after="60" w:line="264" w:lineRule="auto"/>
      </w:pPr>
      <w:r>
        <w:rPr>
          <w:b/>
        </w:rPr>
        <w:t>Swing</w:t>
      </w:r>
      <w:r>
        <w:rPr>
          <w:b w:val="0"/>
        </w:rPr>
        <w:t xml:space="preserve"> — technically strong stocks bought for a 2–6 week move, then sold.</w:t>
      </w:r>
    </w:p>
    <w:p>
      <w:pPr>
        <w:pStyle w:val="ListBullet"/>
        <w:spacing w:after="60" w:line="264" w:lineRule="auto"/>
      </w:pPr>
      <w:r>
        <w:rPr>
          <w:b/>
        </w:rPr>
        <w:t>Superperformance / Growth discovery</w:t>
      </w:r>
      <w:r>
        <w:rPr>
          <w:b w:val="0"/>
        </w:rPr>
        <w:t xml:space="preserve"> — small and mid-sized companies with explosive growth potential, inspired by the methods of Mark Minervini.</w:t>
      </w:r>
    </w:p>
    <w:p>
      <w:pPr>
        <w:spacing w:after="120" w:before="0" w:line="276" w:lineRule="auto"/>
      </w:pPr>
      <w:r>
        <w:rPr>
          <w:b w:val="0"/>
        </w:rPr>
        <w:t xml:space="preserve">Everything is automated, everything is measured, and — this is the part I am most proud of — </w:t>
      </w:r>
      <w:r>
        <w:rPr>
          <w:b/>
        </w:rPr>
        <w:t>every change to how the system behaves is written down as an experiment with a success test defined in advance.</w:t>
      </w:r>
      <w:r>
        <w:rPr>
          <w:b w:val="0"/>
        </w:rPr>
        <w:t xml:space="preserve"> If a clever idea fails its test, we throw it out. That discipline is what separates this from guesswork, and a large part of this document is devoted to showing you exactly what we tested and what we learned.</w:t>
      </w:r>
    </w:p>
    <w:tbl>
      <w:tblPr>
        <w:tblW w:type="auto" w:w="0"/>
        <w:jc w:val="center"/>
        <w:tblLook w:firstColumn="1" w:firstRow="1" w:lastColumn="0" w:lastRow="0" w:noHBand="0" w:noVBand="1" w:val="04A0"/>
      </w:tblPr>
      <w:tblGrid>
        <w:gridCol w:w="9360"/>
      </w:tblGrid>
      <w:tr>
        <w:tc>
          <w:tcPr>
            <w:tcW w:type="dxa" w:w="9360"/>
            <w:shd w:val="clear" w:color="auto" w:fill="FBE9DD"/>
            <w:tcMar>
              <w:top w:w="120" w:type="dxa"/>
              <w:bottom w:w="120" w:type="dxa"/>
              <w:start w:w="160" w:type="dxa"/>
              <w:end w:w="160" w:type="dxa"/>
            </w:tcMar>
            <w:tcBorders>
              <w:top w:val="single" w:sz="4" w:color="C55A11"/>
              <w:bottom w:val="single" w:sz="4" w:color="C55A11"/>
              <w:start w:val="single" w:sz="22" w:color="C55A11"/>
              <w:end w:val="single" w:sz="4" w:color="C55A11"/>
            </w:tcBorders>
          </w:tcPr>
          <w:p>
            <w:pPr>
              <w:spacing w:after="40"/>
            </w:pPr>
            <w:r>
              <w:rPr>
                <w:b/>
                <w:color w:val="C55A11"/>
              </w:rPr>
              <w:t>The one-sentence version</w:t>
            </w:r>
          </w:p>
          <w:p>
            <w:pPr>
              <w:spacing w:line="276" w:lineRule="auto" w:after="0"/>
            </w:pPr>
            <w:r>
              <w:rPr>
                <w:b w:val="0"/>
              </w:rPr>
              <w:t>A disciplined, self-improving research machine that finds stocks three ways, trades them on paper to prove the approach, and refuses to change its own rules without evidence.</w:t>
            </w:r>
          </w:p>
        </w:tc>
      </w:tr>
    </w:tbl>
    <w:p>
      <w:pPr>
        <w:spacing w:after="80"/>
      </w:pPr>
    </w:p>
    <w:p>
      <w:r>
        <w:br w:type="page"/>
      </w:r>
    </w:p>
    <w:p>
      <w:pPr>
        <w:pStyle w:val="Heading1"/>
        <w:spacing w:before="320" w:after="140"/>
      </w:pPr>
      <w:r>
        <w:rPr>
          <w:rFonts w:ascii="Calibri" w:hAnsi="Calibri"/>
          <w:b/>
          <w:color w:val="1F3864"/>
          <w:sz w:val="34"/>
        </w:rPr>
        <w:t>1. The Philosophy — Why It Works the Way It Does</w:t>
      </w:r>
    </w:p>
    <w:p>
      <w:pPr>
        <w:spacing w:after="120" w:before="0" w:line="276" w:lineRule="auto"/>
      </w:pPr>
      <w:r>
        <w:rPr>
          <w:b w:val="0"/>
        </w:rPr>
        <w:t>Before any of the machinery, it helps to understand the beliefs the whole system is built on. These are deliberate choices, not accidents.</w:t>
      </w:r>
    </w:p>
    <w:p>
      <w:pPr>
        <w:pStyle w:val="Heading2"/>
        <w:spacing w:before="240" w:after="100"/>
      </w:pPr>
      <w:r>
        <w:rPr>
          <w:rFonts w:ascii="Calibri" w:hAnsi="Calibri"/>
          <w:b/>
          <w:color w:val="2E5496"/>
          <w:sz w:val="27"/>
        </w:rPr>
        <w:t>Prove it on paper first</w:t>
      </w:r>
    </w:p>
    <w:p>
      <w:pPr>
        <w:spacing w:after="120" w:before="0" w:line="276" w:lineRule="auto"/>
      </w:pPr>
      <w:r>
        <w:rPr>
          <w:b w:val="0"/>
        </w:rPr>
        <w:t xml:space="preserve">The portfolios are </w:t>
      </w:r>
      <w:r>
        <w:rPr>
          <w:b/>
        </w:rPr>
        <w:t>fully automated on paper</w:t>
      </w:r>
      <w:r>
        <w:rPr>
          <w:b w:val="0"/>
        </w:rPr>
        <w:t xml:space="preserve"> — the computer decides both when to buy and when to sell, with no human nudging the results. Real trades are still placed by hand, by me, only after I have reviewed what the system flagged. The goal is to build a precise, honest track record in pretend money, and then act on it in real money with confidence. A paper record that has been quietly ‘helped’ by human hindsight is worthless; an automated one is a genuine test.</w:t>
      </w:r>
    </w:p>
    <w:p>
      <w:pPr>
        <w:pStyle w:val="Heading2"/>
        <w:spacing w:before="240" w:after="100"/>
      </w:pPr>
      <w:r>
        <w:rPr>
          <w:rFonts w:ascii="Calibri" w:hAnsi="Calibri"/>
          <w:b/>
          <w:color w:val="2E5496"/>
          <w:sz w:val="27"/>
        </w:rPr>
        <w:t>Let the winners run, cut the losers quickly</w:t>
      </w:r>
    </w:p>
    <w:p>
      <w:pPr>
        <w:spacing w:after="120" w:before="0" w:line="276" w:lineRule="auto"/>
      </w:pPr>
      <w:r>
        <w:rPr>
          <w:b w:val="0"/>
        </w:rPr>
        <w:t xml:space="preserve">There are </w:t>
      </w:r>
      <w:r>
        <w:rPr>
          <w:b/>
        </w:rPr>
        <w:t>no fixed price targets and no time limits</w:t>
      </w:r>
      <w:r>
        <w:rPr>
          <w:b w:val="0"/>
        </w:rPr>
        <w:t xml:space="preserve"> on winning trades. If a stock keeps working, we keep holding it. Losses, on the other hand, are cut mechanically the moment the reason we bought is gone. This asymmetry — small controlled losses, uncapped gains — is the mathematical heart of the whole approach.</w:t>
      </w:r>
    </w:p>
    <w:p>
      <w:pPr>
        <w:pStyle w:val="Heading2"/>
        <w:spacing w:before="240" w:after="100"/>
      </w:pPr>
      <w:r>
        <w:rPr>
          <w:rFonts w:ascii="Calibri" w:hAnsi="Calibri"/>
          <w:b/>
          <w:color w:val="2E5496"/>
          <w:sz w:val="27"/>
        </w:rPr>
        <w:t>Size positions by conviction, and let capital compound</w:t>
      </w:r>
    </w:p>
    <w:p>
      <w:pPr>
        <w:spacing w:after="120" w:before="0" w:line="276" w:lineRule="auto"/>
      </w:pPr>
      <w:r>
        <w:rPr>
          <w:b w:val="0"/>
        </w:rPr>
        <w:t>We don’t buy fixed dollar amounts. A stronger idea gets more money; a weaker one gets less. When a trade is closed, the proceeds flow back into the pool, so after a string of wins each new position is a little larger, and after losses each is a little smaller. The account breathes with its own results.</w:t>
      </w:r>
    </w:p>
    <w:p>
      <w:pPr>
        <w:pStyle w:val="Heading2"/>
        <w:spacing w:before="240" w:after="100"/>
      </w:pPr>
      <w:r>
        <w:rPr>
          <w:rFonts w:ascii="Calibri" w:hAnsi="Calibri"/>
          <w:b/>
          <w:color w:val="2E5496"/>
          <w:sz w:val="27"/>
        </w:rPr>
        <w:t>Change nothing without evidence</w:t>
      </w:r>
    </w:p>
    <w:p>
      <w:pPr>
        <w:spacing w:after="120" w:before="0" w:line="276" w:lineRule="auto"/>
      </w:pPr>
      <w:r>
        <w:rPr>
          <w:b w:val="0"/>
        </w:rPr>
        <w:t xml:space="preserve">This is the rule that governs everything. Any adjustment to how the system picks or sells stocks must be logged as an </w:t>
      </w:r>
      <w:r>
        <w:rPr>
          <w:b/>
        </w:rPr>
        <w:t>experiment</w:t>
      </w:r>
      <w:r>
        <w:rPr>
          <w:b w:val="0"/>
        </w:rPr>
        <w:t xml:space="preserve">: a written hypothesis, a success measure decided *before* the data arrives, and later an honest verdict. We keep a living document (internally called the experiment log) with 17 such entries so far. Several clever, plausible ideas have </w:t>
      </w:r>
      <w:r>
        <w:rPr>
          <w:b/>
        </w:rPr>
        <w:t>failed</w:t>
      </w:r>
      <w:r>
        <w:rPr>
          <w:b w:val="0"/>
        </w:rPr>
        <w:t xml:space="preserve"> their tests and been thrown out — and you’ll read about those failures in this document just as prominently as the successes, because the failures are where the real learning lives.</w:t>
      </w:r>
    </w:p>
    <w:tbl>
      <w:tblPr>
        <w:tblW w:type="auto" w:w="0"/>
        <w:jc w:val="center"/>
        <w:tblLook w:firstColumn="1" w:firstRow="1" w:lastColumn="0" w:lastRow="0" w:noHBand="0" w:noVBand="1" w:val="04A0"/>
      </w:tblPr>
      <w:tblGrid>
        <w:gridCol w:w="9360"/>
      </w:tblGrid>
      <w:tr>
        <w:tc>
          <w:tcPr>
            <w:tcW w:type="dxa" w:w="9360"/>
            <w:shd w:val="clear" w:color="auto" w:fill="EEF2F8"/>
            <w:tcMar>
              <w:top w:w="120" w:type="dxa"/>
              <w:bottom w:w="120" w:type="dxa"/>
              <w:start w:w="160" w:type="dxa"/>
              <w:end w:w="160" w:type="dxa"/>
            </w:tcMar>
            <w:tcBorders>
              <w:top w:val="single" w:sz="4" w:color="2E5496"/>
              <w:bottom w:val="single" w:sz="4" w:color="2E5496"/>
              <w:start w:val="single" w:sz="22" w:color="2E5496"/>
              <w:end w:val="single" w:sz="4" w:color="2E5496"/>
            </w:tcBorders>
          </w:tcPr>
          <w:p>
            <w:pPr>
              <w:spacing w:after="40"/>
            </w:pPr>
            <w:r>
              <w:rPr>
                <w:b/>
                <w:color w:val="2E5496"/>
              </w:rPr>
              <w:t>Why write the success test before seeing the data?</w:t>
            </w:r>
          </w:p>
          <w:p>
            <w:pPr>
              <w:spacing w:line="276" w:lineRule="auto" w:after="0"/>
            </w:pPr>
            <w:r>
              <w:rPr>
                <w:b w:val="0"/>
              </w:rPr>
              <w:t>Because it is the only defense against fooling yourself. If you decide what ‘success’ means after you’ve seen the numbers, you will always find a way to call your idea a winner. Deciding in advance keeps the log honest. This single practice, borrowed from science, is the backbone of the platform.</w:t>
            </w:r>
          </w:p>
        </w:tc>
      </w:tr>
    </w:tbl>
    <w:p>
      <w:pPr>
        <w:spacing w:after="80"/>
      </w:pPr>
    </w:p>
    <w:p>
      <w:r>
        <w:br w:type="page"/>
      </w:r>
    </w:p>
    <w:p>
      <w:pPr>
        <w:pStyle w:val="Heading1"/>
        <w:spacing w:before="320" w:after="140"/>
      </w:pPr>
      <w:r>
        <w:rPr>
          <w:rFonts w:ascii="Calibri" w:hAnsi="Calibri"/>
          <w:b/>
          <w:color w:val="1F3864"/>
          <w:sz w:val="34"/>
        </w:rPr>
        <w:t>2. The Money — One $5,000 Paper Pool</w:t>
      </w:r>
    </w:p>
    <w:p>
      <w:pPr>
        <w:spacing w:after="120" w:before="0" w:line="276" w:lineRule="auto"/>
      </w:pPr>
      <w:r>
        <w:rPr>
          <w:b w:val="0"/>
        </w:rPr>
        <w:t xml:space="preserve">All three hunting styles draw from a single, unified </w:t>
      </w:r>
      <w:r>
        <w:rPr>
          <w:b/>
        </w:rPr>
        <w:t>$5,000 paper account</w:t>
      </w:r>
      <w:r>
        <w:rPr>
          <w:b w:val="0"/>
        </w:rPr>
        <w:t>. Splitting it across styles keeps any one approach from dominating, and lets us compare their track records fairly.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12"/>
            <w:shd w:val="clear" w:color="auto" w:fill="1F3864"/>
            <w:tcMar>
              <w:top w:w="70" w:type="dxa"/>
              <w:bottom w:w="70" w:type="dxa"/>
              <w:start w:w="110" w:type="dxa"/>
              <w:end w:w="110" w:type="dxa"/>
            </w:tcMar>
          </w:tcPr>
          <w:p>
            <w:r/>
            <w:r>
              <w:rPr>
                <w:b/>
                <w:color w:val="FFFFFF"/>
              </w:rPr>
              <w:t>Track</w:t>
            </w:r>
          </w:p>
        </w:tc>
        <w:tc>
          <w:tcPr>
            <w:tcW w:type="dxa" w:w="1224"/>
            <w:shd w:val="clear" w:color="auto" w:fill="1F3864"/>
            <w:tcMar>
              <w:top w:w="70" w:type="dxa"/>
              <w:bottom w:w="70" w:type="dxa"/>
              <w:start w:w="110" w:type="dxa"/>
              <w:end w:w="110" w:type="dxa"/>
            </w:tcMar>
          </w:tcPr>
          <w:p>
            <w:r/>
            <w:r>
              <w:rPr>
                <w:b/>
                <w:color w:val="FFFFFF"/>
              </w:rPr>
              <w:t>Capital</w:t>
            </w:r>
          </w:p>
        </w:tc>
        <w:tc>
          <w:tcPr>
            <w:tcW w:type="dxa" w:w="1512"/>
            <w:shd w:val="clear" w:color="auto" w:fill="1F3864"/>
            <w:tcMar>
              <w:top w:w="70" w:type="dxa"/>
              <w:bottom w:w="70" w:type="dxa"/>
              <w:start w:w="110" w:type="dxa"/>
              <w:end w:w="110" w:type="dxa"/>
            </w:tcMar>
          </w:tcPr>
          <w:p>
            <w:r/>
            <w:r>
              <w:rPr>
                <w:b/>
                <w:color w:val="FFFFFF"/>
              </w:rPr>
              <w:t>Rough target</w:t>
            </w:r>
          </w:p>
        </w:tc>
        <w:tc>
          <w:tcPr>
            <w:tcW w:type="dxa" w:w="5112"/>
            <w:shd w:val="clear" w:color="auto" w:fill="1F3864"/>
            <w:tcMar>
              <w:top w:w="70" w:type="dxa"/>
              <w:bottom w:w="70" w:type="dxa"/>
              <w:start w:w="110" w:type="dxa"/>
              <w:end w:w="110" w:type="dxa"/>
            </w:tcMar>
          </w:tcPr>
          <w:p>
            <w:r/>
            <w:r>
              <w:rPr>
                <w:b/>
                <w:color w:val="FFFFFF"/>
              </w:rPr>
              <w:t>How positions are sized</w:t>
            </w:r>
          </w:p>
        </w:tc>
      </w:tr>
      <w:tr>
        <w:tc>
          <w:tcPr>
            <w:tcW w:type="dxa" w:w="1512"/>
            <w:shd w:val="clear" w:color="auto" w:fill="EEF2F8"/>
            <w:tcMar>
              <w:top w:w="60" w:type="dxa"/>
              <w:bottom w:w="60" w:type="dxa"/>
              <w:start w:w="110" w:type="dxa"/>
              <w:end w:w="110" w:type="dxa"/>
            </w:tcMar>
          </w:tcPr>
          <w:p>
            <w:pPr>
              <w:spacing w:line="252" w:lineRule="auto" w:after="0"/>
            </w:pPr>
            <w:r/>
            <w:r>
              <w:rPr>
                <w:b w:val="0"/>
              </w:rPr>
              <w:t>Long-term</w:t>
            </w:r>
          </w:p>
        </w:tc>
        <w:tc>
          <w:tcPr>
            <w:tcW w:type="dxa" w:w="1224"/>
            <w:shd w:val="clear" w:color="auto" w:fill="EEF2F8"/>
            <w:tcMar>
              <w:top w:w="60" w:type="dxa"/>
              <w:bottom w:w="60" w:type="dxa"/>
              <w:start w:w="110" w:type="dxa"/>
              <w:end w:w="110" w:type="dxa"/>
            </w:tcMar>
          </w:tcPr>
          <w:p>
            <w:pPr>
              <w:spacing w:line="252" w:lineRule="auto" w:after="0"/>
            </w:pPr>
            <w:r/>
            <w:r>
              <w:rPr>
                <w:b w:val="0"/>
              </w:rPr>
              <w:t>$3,500</w:t>
            </w:r>
          </w:p>
        </w:tc>
        <w:tc>
          <w:tcPr>
            <w:tcW w:type="dxa" w:w="1512"/>
            <w:shd w:val="clear" w:color="auto" w:fill="EEF2F8"/>
            <w:tcMar>
              <w:top w:w="60" w:type="dxa"/>
              <w:bottom w:w="60" w:type="dxa"/>
              <w:start w:w="110" w:type="dxa"/>
              <w:end w:w="110" w:type="dxa"/>
            </w:tcMar>
          </w:tcPr>
          <w:p>
            <w:pPr>
              <w:spacing w:line="252" w:lineRule="auto" w:after="0"/>
            </w:pPr>
            <w:r/>
            <w:r>
              <w:rPr>
                <w:b w:val="0"/>
              </w:rPr>
              <w:t>~60% of pool</w:t>
            </w:r>
          </w:p>
        </w:tc>
        <w:tc>
          <w:tcPr>
            <w:tcW w:type="dxa" w:w="5112"/>
            <w:shd w:val="clear" w:color="auto" w:fill="EEF2F8"/>
            <w:tcMar>
              <w:top w:w="60" w:type="dxa"/>
              <w:bottom w:w="60" w:type="dxa"/>
              <w:start w:w="110" w:type="dxa"/>
              <w:end w:w="110" w:type="dxa"/>
            </w:tcMar>
          </w:tcPr>
          <w:p>
            <w:pPr>
              <w:spacing w:line="252" w:lineRule="auto" w:after="0"/>
            </w:pPr>
            <w:r/>
            <w:r>
              <w:rPr>
                <w:b w:val="0"/>
              </w:rPr>
              <w:t>Continuously scaled by conviction: a score of 8/10 buys ~5.5% of the account; a 10 buys ~7%. Weaker scores buy proportionally less.</w:t>
            </w:r>
          </w:p>
        </w:tc>
      </w:tr>
      <w:tr>
        <w:tc>
          <w:tcPr>
            <w:tcW w:type="dxa" w:w="1512"/>
            <w:shd w:val="clear" w:color="auto" w:fill="FFFFFF"/>
            <w:tcMar>
              <w:top w:w="60" w:type="dxa"/>
              <w:bottom w:w="60" w:type="dxa"/>
              <w:start w:w="110" w:type="dxa"/>
              <w:end w:w="110" w:type="dxa"/>
            </w:tcMar>
          </w:tcPr>
          <w:p>
            <w:pPr>
              <w:spacing w:line="252" w:lineRule="auto" w:after="0"/>
            </w:pPr>
            <w:r/>
            <w:r>
              <w:rPr>
                <w:b w:val="0"/>
              </w:rPr>
              <w:t>Swing</w:t>
            </w:r>
          </w:p>
        </w:tc>
        <w:tc>
          <w:tcPr>
            <w:tcW w:type="dxa" w:w="1224"/>
            <w:shd w:val="clear" w:color="auto" w:fill="FFFFFF"/>
            <w:tcMar>
              <w:top w:w="60" w:type="dxa"/>
              <w:bottom w:w="60" w:type="dxa"/>
              <w:start w:w="110" w:type="dxa"/>
              <w:end w:w="110" w:type="dxa"/>
            </w:tcMar>
          </w:tcPr>
          <w:p>
            <w:pPr>
              <w:spacing w:line="252" w:lineRule="auto" w:after="0"/>
            </w:pPr>
            <w:r/>
            <w:r>
              <w:rPr>
                <w:b w:val="0"/>
              </w:rPr>
              <w:t>$1,500</w:t>
            </w:r>
          </w:p>
        </w:tc>
        <w:tc>
          <w:tcPr>
            <w:tcW w:type="dxa" w:w="1512"/>
            <w:shd w:val="clear" w:color="auto" w:fill="FFFFFF"/>
            <w:tcMar>
              <w:top w:w="60" w:type="dxa"/>
              <w:bottom w:w="60" w:type="dxa"/>
              <w:start w:w="110" w:type="dxa"/>
              <w:end w:w="110" w:type="dxa"/>
            </w:tcMar>
          </w:tcPr>
          <w:p>
            <w:pPr>
              <w:spacing w:line="252" w:lineRule="auto" w:after="0"/>
            </w:pPr>
            <w:r/>
            <w:r>
              <w:rPr>
                <w:b w:val="0"/>
              </w:rPr>
              <w:t>~30% of pool</w:t>
            </w:r>
          </w:p>
        </w:tc>
        <w:tc>
          <w:tcPr>
            <w:tcW w:type="dxa" w:w="5112"/>
            <w:shd w:val="clear" w:color="auto" w:fill="FFFFFF"/>
            <w:tcMar>
              <w:top w:w="60" w:type="dxa"/>
              <w:bottom w:w="60" w:type="dxa"/>
              <w:start w:w="110" w:type="dxa"/>
              <w:end w:w="110" w:type="dxa"/>
            </w:tcMar>
          </w:tcPr>
          <w:p>
            <w:pPr>
              <w:spacing w:line="252" w:lineRule="auto" w:after="0"/>
            </w:pPr>
            <w:r/>
            <w:r>
              <w:rPr>
                <w:b w:val="0"/>
              </w:rPr>
              <w:t>A base ‘slot’ of ~one-sixth of swing capital, scaled up or down by setup quality and reward-to-risk.</w:t>
            </w:r>
          </w:p>
        </w:tc>
      </w:tr>
      <w:tr>
        <w:tc>
          <w:tcPr>
            <w:tcW w:type="dxa" w:w="1512"/>
            <w:shd w:val="clear" w:color="auto" w:fill="EEF2F8"/>
            <w:tcMar>
              <w:top w:w="60" w:type="dxa"/>
              <w:bottom w:w="60" w:type="dxa"/>
              <w:start w:w="110" w:type="dxa"/>
              <w:end w:w="110" w:type="dxa"/>
            </w:tcMar>
          </w:tcPr>
          <w:p>
            <w:pPr>
              <w:spacing w:line="252" w:lineRule="auto" w:after="0"/>
            </w:pPr>
            <w:r/>
            <w:r>
              <w:rPr>
                <w:b w:val="0"/>
              </w:rPr>
              <w:t>Cash</w:t>
            </w:r>
          </w:p>
        </w:tc>
        <w:tc>
          <w:tcPr>
            <w:tcW w:type="dxa" w:w="1224"/>
            <w:shd w:val="clear" w:color="auto" w:fill="EEF2F8"/>
            <w:tcMar>
              <w:top w:w="60" w:type="dxa"/>
              <w:bottom w:w="60" w:type="dxa"/>
              <w:start w:w="110" w:type="dxa"/>
              <w:end w:w="110" w:type="dxa"/>
            </w:tcMar>
          </w:tcPr>
          <w:p>
            <w:pPr>
              <w:spacing w:line="252" w:lineRule="auto" w:after="0"/>
            </w:pPr>
            <w:r/>
            <w:r>
              <w:rPr>
                <w:b w:val="0"/>
              </w:rPr>
              <w:t>—</w:t>
            </w:r>
          </w:p>
        </w:tc>
        <w:tc>
          <w:tcPr>
            <w:tcW w:type="dxa" w:w="1512"/>
            <w:shd w:val="clear" w:color="auto" w:fill="EEF2F8"/>
            <w:tcMar>
              <w:top w:w="60" w:type="dxa"/>
              <w:bottom w:w="60" w:type="dxa"/>
              <w:start w:w="110" w:type="dxa"/>
              <w:end w:w="110" w:type="dxa"/>
            </w:tcMar>
          </w:tcPr>
          <w:p>
            <w:pPr>
              <w:spacing w:line="252" w:lineRule="auto" w:after="0"/>
            </w:pPr>
            <w:r/>
            <w:r>
              <w:rPr>
                <w:b w:val="0"/>
              </w:rPr>
              <w:t>~10% buffer</w:t>
            </w:r>
          </w:p>
        </w:tc>
        <w:tc>
          <w:tcPr>
            <w:tcW w:type="dxa" w:w="5112"/>
            <w:shd w:val="clear" w:color="auto" w:fill="EEF2F8"/>
            <w:tcMar>
              <w:top w:w="60" w:type="dxa"/>
              <w:bottom w:w="60" w:type="dxa"/>
              <w:start w:w="110" w:type="dxa"/>
              <w:end w:w="110" w:type="dxa"/>
            </w:tcMar>
          </w:tcPr>
          <w:p>
            <w:pPr>
              <w:spacing w:line="252" w:lineRule="auto" w:after="0"/>
            </w:pPr>
            <w:r/>
            <w:r>
              <w:rPr>
                <w:b w:val="0"/>
              </w:rPr>
              <w:t>Dry powder; every closed trade returns its proceeds here first.</w:t>
            </w:r>
          </w:p>
        </w:tc>
      </w:tr>
    </w:tbl>
    <w:p>
      <w:pPr>
        <w:spacing w:after="80"/>
      </w:pPr>
    </w:p>
    <w:p>
      <w:pPr>
        <w:spacing w:after="120" w:before="0" w:line="276" w:lineRule="auto"/>
      </w:pPr>
      <w:r>
        <w:rPr>
          <w:b w:val="0"/>
        </w:rPr>
        <w:t>Both tracks compound independently. When a position is trimmed or closed, the cash goes straight back into the pool, and the next purchase is sized against the new, live account value — so the system automatically presses harder when it’s doing well and eases off when it isn’t.</w:t>
      </w:r>
    </w:p>
    <w:tbl>
      <w:tblPr>
        <w:tblW w:type="auto" w:w="0"/>
        <w:jc w:val="center"/>
        <w:tblLook w:firstColumn="1" w:firstRow="1" w:lastColumn="0" w:lastRow="0" w:noHBand="0" w:noVBand="1" w:val="04A0"/>
      </w:tblPr>
      <w:tblGrid>
        <w:gridCol w:w="9360"/>
      </w:tblGrid>
      <w:tr>
        <w:tc>
          <w:tcPr>
            <w:tcW w:type="dxa" w:w="9360"/>
            <w:shd w:val="clear" w:color="auto" w:fill="EEF2F8"/>
            <w:tcMar>
              <w:top w:w="120" w:type="dxa"/>
              <w:bottom w:w="120" w:type="dxa"/>
              <w:start w:w="160" w:type="dxa"/>
              <w:end w:w="160" w:type="dxa"/>
            </w:tcMar>
            <w:tcBorders>
              <w:top w:val="single" w:sz="4" w:color="2E5496"/>
              <w:bottom w:val="single" w:sz="4" w:color="2E5496"/>
              <w:start w:val="single" w:sz="22" w:color="2E5496"/>
              <w:end w:val="single" w:sz="4" w:color="2E5496"/>
            </w:tcBorders>
          </w:tcPr>
          <w:p>
            <w:pPr>
              <w:spacing w:after="40"/>
            </w:pPr>
            <w:r>
              <w:rPr>
                <w:b/>
                <w:color w:val="2E5496"/>
              </w:rPr>
              <w:t>A note on ‘conviction’</w:t>
            </w:r>
          </w:p>
          <w:p>
            <w:pPr>
              <w:spacing w:line="276" w:lineRule="auto" w:after="0"/>
            </w:pPr>
            <w:r>
              <w:rPr>
                <w:b w:val="0"/>
              </w:rPr>
              <w:t>Conviction is a single 0–10 score the system assigns to each long-term idea, combining how good the business is, how reasonably it’s priced, and how healthy the chart looks. Higher conviction = bigger position. We unpack exactly how it’s built in Section 7.</w:t>
            </w:r>
          </w:p>
        </w:tc>
      </w:tr>
    </w:tbl>
    <w:p>
      <w:pPr>
        <w:spacing w:after="80"/>
      </w:pPr>
    </w:p>
    <w:p>
      <w:r>
        <w:br w:type="page"/>
      </w:r>
    </w:p>
    <w:p>
      <w:pPr>
        <w:pStyle w:val="Heading1"/>
        <w:spacing w:before="320" w:after="140"/>
      </w:pPr>
      <w:r>
        <w:rPr>
          <w:rFonts w:ascii="Calibri" w:hAnsi="Calibri"/>
          <w:b/>
          <w:color w:val="1F3864"/>
          <w:sz w:val="34"/>
        </w:rPr>
        <w:t>3. The Three Ways We Hunt for Stocks</w:t>
      </w:r>
    </w:p>
    <w:p>
      <w:pPr>
        <w:spacing w:after="120" w:before="0" w:line="276" w:lineRule="auto"/>
      </w:pPr>
      <w:r>
        <w:rPr>
          <w:b w:val="0"/>
        </w:rPr>
        <w:t>Each track answers a different question. Here is what each one is really looking for, and how it narrows a huge list of companies down to a handful worth acting on.</w:t>
      </w:r>
    </w:p>
    <w:p>
      <w:pPr>
        <w:pStyle w:val="Heading2"/>
        <w:spacing w:before="240" w:after="100"/>
      </w:pPr>
      <w:r>
        <w:rPr>
          <w:rFonts w:ascii="Calibri" w:hAnsi="Calibri"/>
          <w:b/>
          <w:color w:val="2E5496"/>
          <w:sz w:val="27"/>
        </w:rPr>
        <w:t>3.1 Long-Term — Buying Good Businesses at Fair Prices</w:t>
      </w:r>
    </w:p>
    <w:p>
      <w:pPr>
        <w:spacing w:after="120" w:before="0" w:line="276" w:lineRule="auto"/>
      </w:pPr>
      <w:r>
        <w:rPr>
          <w:b w:val="0"/>
        </w:rPr>
        <w:t>This is the classic, patient approach: own excellent companies and let them grow. The system scans a live list of about 450 large companies (the S&amp;P 500 plus the Nasdaq 100), but it doesn’t study all of them every day. On Sundays a ‘sector funnel’ ranks the eleven broad sectors of the market by how well they’re performing, drills into the strongest ones, and produces a focused weekly shortlist of roughly 60–100 names. Those get the deep, seven-analyst treatment each morning.</w:t>
      </w:r>
    </w:p>
    <w:p>
      <w:pPr>
        <w:spacing w:after="120" w:before="0" w:line="276" w:lineRule="auto"/>
      </w:pPr>
      <w:r>
        <w:rPr>
          <w:b w:val="0"/>
        </w:rPr>
        <w:t>A long-term candidate has to clear a high bar: strong fundamentals, a sensible valuation, a healthy chart for timing the entry, and no disqualifying red flags. Only ideas scoring 8 or above (out of 10) on conviction become a ‘Buy.’</w:t>
      </w:r>
    </w:p>
    <w:p>
      <w:pPr>
        <w:pStyle w:val="Heading2"/>
        <w:spacing w:before="240" w:after="100"/>
      </w:pPr>
      <w:r>
        <w:rPr>
          <w:rFonts w:ascii="Calibri" w:hAnsi="Calibri"/>
          <w:b/>
          <w:color w:val="2E5496"/>
          <w:sz w:val="27"/>
        </w:rPr>
        <w:t>3.2 Swing — Catching a 2-to-6-Week Move</w:t>
      </w:r>
    </w:p>
    <w:p>
      <w:pPr>
        <w:spacing w:after="120" w:before="0" w:line="276" w:lineRule="auto"/>
      </w:pPr>
      <w:r>
        <w:rPr>
          <w:b w:val="0"/>
        </w:rPr>
        <w:t xml:space="preserve">Swing trading is about capturing a shorter burst of momentum. Here the system scans the </w:t>
      </w:r>
      <w:r>
        <w:rPr>
          <w:b/>
        </w:rPr>
        <w:t>full</w:t>
      </w:r>
      <w:r>
        <w:rPr>
          <w:b w:val="0"/>
        </w:rPr>
        <w:t xml:space="preserve"> ~450-company universe every day (not just the weekly shortlist), because good short-term setups can appear anywhere. It runs a three-stage funnel:</w:t>
      </w:r>
    </w:p>
    <w:p>
      <w:pPr>
        <w:pStyle w:val="ListNumber"/>
        <w:spacing w:after="60" w:line="264" w:lineRule="auto"/>
      </w:pPr>
      <w:r>
        <w:rPr>
          <w:b/>
        </w:rPr>
        <w:t>Prefilter</w:t>
      </w:r>
      <w:r>
        <w:rPr>
          <w:b w:val="0"/>
        </w:rPr>
        <w:t xml:space="preserve"> — one efficient data pull grabs price and volume history for every stock, then keeps only those in a reasonable price range, with enough volume, not overbought or oversold, and trending healthily. ~450 names become ~150.</w:t>
      </w:r>
    </w:p>
    <w:p>
      <w:pPr>
        <w:pStyle w:val="ListNumber"/>
        <w:spacing w:after="60" w:line="264" w:lineRule="auto"/>
      </w:pPr>
      <w:r>
        <w:rPr>
          <w:b/>
        </w:rPr>
        <w:t>Seven-signal check</w:t>
      </w:r>
      <w:r>
        <w:rPr>
          <w:b w:val="0"/>
        </w:rPr>
        <w:t xml:space="preserve"> — each survivor is scored on seven specific technical signals (Section 5). Pure arithmetic, no AI, so it’s fast and cheap.</w:t>
      </w:r>
    </w:p>
    <w:p>
      <w:pPr>
        <w:pStyle w:val="ListNumber"/>
        <w:spacing w:after="60" w:line="264" w:lineRule="auto"/>
      </w:pPr>
      <w:r>
        <w:rPr>
          <w:b/>
        </w:rPr>
        <w:t>Chart vision</w:t>
      </w:r>
      <w:r>
        <w:rPr>
          <w:b w:val="0"/>
        </w:rPr>
        <w:t xml:space="preserve"> — only the strongest candidates get their chart drawn and read by an AI vision model, which judges the entry, the pattern, and where to place the stop. A handful survive to become actual paper trades.</w:t>
      </w:r>
    </w:p>
    <w:p>
      <w:pPr>
        <w:spacing w:after="120" w:before="0" w:line="276" w:lineRule="auto"/>
      </w:pPr>
      <w:r>
        <w:rPr>
          <w:b w:val="0"/>
        </w:rPr>
        <w:t>This funnel exists for a reason: reading charts with AI costs money, so we spend it only on the few names that have already earned the attention.</w:t>
      </w:r>
    </w:p>
    <w:p>
      <w:pPr>
        <w:pStyle w:val="Heading2"/>
        <w:spacing w:before="240" w:after="100"/>
      </w:pPr>
      <w:r>
        <w:rPr>
          <w:rFonts w:ascii="Calibri" w:hAnsi="Calibri"/>
          <w:b/>
          <w:color w:val="2E5496"/>
          <w:sz w:val="27"/>
        </w:rPr>
        <w:t>3.3 Superperformance / Growth Discovery — The Minervini Track</w:t>
      </w:r>
    </w:p>
    <w:p>
      <w:pPr>
        <w:spacing w:after="120" w:before="0" w:line="276" w:lineRule="auto"/>
      </w:pPr>
      <w:r>
        <w:rPr>
          <w:b w:val="0"/>
        </w:rPr>
        <w:t>This newest track is inspired by Mark Minervini, a champion trader who specializes in finding small, fast-growing companies *before* they make their biggest moves. It has two parts:</w:t>
      </w:r>
    </w:p>
    <w:p>
      <w:pPr>
        <w:pStyle w:val="ListBullet"/>
        <w:spacing w:after="60" w:line="264" w:lineRule="auto"/>
      </w:pPr>
      <w:r>
        <w:rPr>
          <w:b/>
        </w:rPr>
        <w:t>A curated growth list</w:t>
      </w:r>
      <w:r>
        <w:rPr>
          <w:b w:val="0"/>
        </w:rPr>
        <w:t xml:space="preserve"> of 61 hand-picked small and mid-cap companies ($300M–$10B) that sit outside the big-company universe. A dedicated ‘Growth Hunter’ scores these on a fundamentals-first rubric built for young, fast-growing businesses.</w:t>
      </w:r>
    </w:p>
    <w:p>
      <w:pPr>
        <w:pStyle w:val="ListBullet"/>
        <w:spacing w:after="60" w:line="264" w:lineRule="auto"/>
      </w:pPr>
      <w:r>
        <w:rPr>
          <w:b/>
        </w:rPr>
        <w:t>A weekly discovery screen</w:t>
      </w:r>
      <w:r>
        <w:rPr>
          <w:b w:val="0"/>
        </w:rPr>
        <w:t xml:space="preserve"> that scans ~1,000 additional smaller companies using Minervini’s ‘Trend Template’ — an eight-point checklist that identifies stocks in powerful uptrends — and surfaces the top 15 as research candidates. These are names to investigate, not automatic buys; a name only enters the portfolio after passing the same gates as everything else.</w:t>
      </w:r>
    </w:p>
    <w:tbl>
      <w:tblPr>
        <w:tblW w:type="auto" w:w="0"/>
        <w:jc w:val="center"/>
        <w:tblLook w:firstColumn="1" w:firstRow="1" w:lastColumn="0" w:lastRow="0" w:noHBand="0" w:noVBand="1" w:val="04A0"/>
      </w:tblPr>
      <w:tblGrid>
        <w:gridCol w:w="9360"/>
      </w:tblGrid>
      <w:tr>
        <w:tc>
          <w:tcPr>
            <w:tcW w:type="dxa" w:w="9360"/>
            <w:shd w:val="clear" w:color="auto" w:fill="FBE9DD"/>
            <w:tcMar>
              <w:top w:w="120" w:type="dxa"/>
              <w:bottom w:w="120" w:type="dxa"/>
              <w:start w:w="160" w:type="dxa"/>
              <w:end w:w="160" w:type="dxa"/>
            </w:tcMar>
            <w:tcBorders>
              <w:top w:val="single" w:sz="4" w:color="C55A11"/>
              <w:bottom w:val="single" w:sz="4" w:color="C55A11"/>
              <w:start w:val="single" w:sz="22" w:color="C55A11"/>
              <w:end w:val="single" w:sz="4" w:color="C55A11"/>
            </w:tcBorders>
          </w:tcPr>
          <w:p>
            <w:pPr>
              <w:spacing w:after="40"/>
            </w:pPr>
            <w:r>
              <w:rPr>
                <w:b/>
                <w:color w:val="C55A11"/>
              </w:rPr>
              <w:t>No parallel pipelines — a hard rule</w:t>
            </w:r>
          </w:p>
          <w:p>
            <w:pPr>
              <w:spacing w:line="276" w:lineRule="auto" w:after="0"/>
            </w:pPr>
            <w:r>
              <w:rPr>
                <w:b w:val="0"/>
              </w:rPr>
              <w:t>Whichever of the three styles finds an idea, it flows through the SAME entry gates, the same risk checks, and the same paper account. We learned this the hard way (experiment E3): an earlier version let the growth track buy stocks through a separate, ungated back door, and every one of those trades lost money. Now there is one front door for everyone.</w:t>
            </w:r>
          </w:p>
        </w:tc>
      </w:tr>
    </w:tbl>
    <w:p>
      <w:pPr>
        <w:spacing w:after="80"/>
      </w:pPr>
    </w:p>
    <w:p>
      <w:r>
        <w:br w:type="page"/>
      </w:r>
    </w:p>
    <w:p>
      <w:pPr>
        <w:pStyle w:val="Heading1"/>
        <w:spacing w:before="320" w:after="140"/>
      </w:pPr>
      <w:r>
        <w:rPr>
          <w:rFonts w:ascii="Calibri" w:hAnsi="Calibri"/>
          <w:b/>
          <w:color w:val="1F3864"/>
          <w:sz w:val="34"/>
        </w:rPr>
        <w:t>4. The Fundamentals We Read</w:t>
      </w:r>
    </w:p>
    <w:p>
      <w:pPr>
        <w:spacing w:after="120" w:before="0" w:line="276" w:lineRule="auto"/>
      </w:pPr>
      <w:r>
        <w:rPr>
          <w:b w:val="0"/>
        </w:rPr>
        <w:t>‘Fundamentals’ means the health of the actual business behind the stock — its earnings, growth, debt, and cash. Here is what the system pulls for every company and what each number tells us.</w:t>
      </w:r>
    </w:p>
    <w:tbl>
      <w:tblPr>
        <w:tblStyle w:val="TableGrid"/>
        <w:tblW w:type="auto" w:w="0"/>
        <w:jc w:val="center"/>
        <w:tblLook w:firstColumn="1" w:firstRow="1" w:lastColumn="0" w:lastRow="0" w:noHBand="0" w:noVBand="1" w:val="04A0"/>
      </w:tblPr>
      <w:tblGrid>
        <w:gridCol w:w="4680"/>
        <w:gridCol w:w="4680"/>
      </w:tblGrid>
      <w:tr>
        <w:tc>
          <w:tcPr>
            <w:tcW w:type="dxa" w:w="3888"/>
            <w:shd w:val="clear" w:color="auto" w:fill="1F3864"/>
            <w:tcMar>
              <w:top w:w="70" w:type="dxa"/>
              <w:bottom w:w="70" w:type="dxa"/>
              <w:start w:w="110" w:type="dxa"/>
              <w:end w:w="110" w:type="dxa"/>
            </w:tcMar>
          </w:tcPr>
          <w:p>
            <w:r/>
            <w:r>
              <w:rPr>
                <w:b/>
                <w:color w:val="FFFFFF"/>
              </w:rPr>
              <w:t>What we measure</w:t>
            </w:r>
          </w:p>
        </w:tc>
        <w:tc>
          <w:tcPr>
            <w:tcW w:type="dxa" w:w="5472"/>
            <w:shd w:val="clear" w:color="auto" w:fill="1F3864"/>
            <w:tcMar>
              <w:top w:w="70" w:type="dxa"/>
              <w:bottom w:w="70" w:type="dxa"/>
              <w:start w:w="110" w:type="dxa"/>
              <w:end w:w="110" w:type="dxa"/>
            </w:tcMar>
          </w:tcPr>
          <w:p>
            <w:r/>
            <w:r>
              <w:rPr>
                <w:b/>
                <w:color w:val="FFFFFF"/>
              </w:rPr>
              <w:t>Why it matters</w:t>
            </w:r>
          </w:p>
        </w:tc>
      </w:tr>
      <w:tr>
        <w:tc>
          <w:tcPr>
            <w:tcW w:type="dxa" w:w="3888"/>
            <w:shd w:val="clear" w:color="auto" w:fill="EEF2F8"/>
            <w:tcMar>
              <w:top w:w="60" w:type="dxa"/>
              <w:bottom w:w="60" w:type="dxa"/>
              <w:start w:w="110" w:type="dxa"/>
              <w:end w:w="110" w:type="dxa"/>
            </w:tcMar>
          </w:tcPr>
          <w:p>
            <w:pPr>
              <w:spacing w:line="252" w:lineRule="auto" w:after="0"/>
            </w:pPr>
            <w:r/>
            <w:r>
              <w:rPr>
                <w:b w:val="0"/>
              </w:rPr>
              <w:t>Revenue growth (year-over-year) and whether it’s speeding up or slowing down</w:t>
            </w:r>
          </w:p>
        </w:tc>
        <w:tc>
          <w:tcPr>
            <w:tcW w:type="dxa" w:w="5472"/>
            <w:shd w:val="clear" w:color="auto" w:fill="EEF2F8"/>
            <w:tcMar>
              <w:top w:w="60" w:type="dxa"/>
              <w:bottom w:w="60" w:type="dxa"/>
              <w:start w:w="110" w:type="dxa"/>
              <w:end w:w="110" w:type="dxa"/>
            </w:tcMar>
          </w:tcPr>
          <w:p>
            <w:pPr>
              <w:spacing w:line="252" w:lineRule="auto" w:after="0"/>
            </w:pPr>
            <w:r/>
            <w:r>
              <w:rPr>
                <w:b w:val="0"/>
              </w:rPr>
              <w:t>The single most important sign of a healthy growth company. Acceleration matters more than a high absolute number.</w:t>
            </w:r>
          </w:p>
        </w:tc>
      </w:tr>
      <w:tr>
        <w:tc>
          <w:tcPr>
            <w:tcW w:type="dxa" w:w="3888"/>
            <w:shd w:val="clear" w:color="auto" w:fill="FFFFFF"/>
            <w:tcMar>
              <w:top w:w="60" w:type="dxa"/>
              <w:bottom w:w="60" w:type="dxa"/>
              <w:start w:w="110" w:type="dxa"/>
              <w:end w:w="110" w:type="dxa"/>
            </w:tcMar>
          </w:tcPr>
          <w:p>
            <w:pPr>
              <w:spacing w:line="252" w:lineRule="auto" w:after="0"/>
            </w:pPr>
            <w:r/>
            <w:r>
              <w:rPr>
                <w:b w:val="0"/>
              </w:rPr>
              <w:t>Earnings and earnings surprises</w:t>
            </w:r>
          </w:p>
        </w:tc>
        <w:tc>
          <w:tcPr>
            <w:tcW w:type="dxa" w:w="5472"/>
            <w:shd w:val="clear" w:color="auto" w:fill="FFFFFF"/>
            <w:tcMar>
              <w:top w:w="60" w:type="dxa"/>
              <w:bottom w:w="60" w:type="dxa"/>
              <w:start w:w="110" w:type="dxa"/>
              <w:end w:w="110" w:type="dxa"/>
            </w:tcMar>
          </w:tcPr>
          <w:p>
            <w:pPr>
              <w:spacing w:line="252" w:lineRule="auto" w:after="0"/>
            </w:pPr>
            <w:r/>
            <w:r>
              <w:rPr>
                <w:b w:val="0"/>
              </w:rPr>
              <w:t>Whether the company is actually profitable, and whether it keeps beating Wall Street’s estimates (a well-run, underestimated business).</w:t>
            </w:r>
          </w:p>
        </w:tc>
      </w:tr>
      <w:tr>
        <w:tc>
          <w:tcPr>
            <w:tcW w:type="dxa" w:w="3888"/>
            <w:shd w:val="clear" w:color="auto" w:fill="EEF2F8"/>
            <w:tcMar>
              <w:top w:w="60" w:type="dxa"/>
              <w:bottom w:w="60" w:type="dxa"/>
              <w:start w:w="110" w:type="dxa"/>
              <w:end w:w="110" w:type="dxa"/>
            </w:tcMar>
          </w:tcPr>
          <w:p>
            <w:pPr>
              <w:spacing w:line="252" w:lineRule="auto" w:after="0"/>
            </w:pPr>
            <w:r/>
            <w:r>
              <w:rPr>
                <w:b w:val="0"/>
              </w:rPr>
              <w:t>Gross margin</w:t>
            </w:r>
          </w:p>
        </w:tc>
        <w:tc>
          <w:tcPr>
            <w:tcW w:type="dxa" w:w="5472"/>
            <w:shd w:val="clear" w:color="auto" w:fill="EEF2F8"/>
            <w:tcMar>
              <w:top w:w="60" w:type="dxa"/>
              <w:bottom w:w="60" w:type="dxa"/>
              <w:start w:w="110" w:type="dxa"/>
              <w:end w:w="110" w:type="dxa"/>
            </w:tcMar>
          </w:tcPr>
          <w:p>
            <w:pPr>
              <w:spacing w:line="252" w:lineRule="auto" w:after="0"/>
            </w:pPr>
            <w:r/>
            <w:r>
              <w:rPr>
                <w:b w:val="0"/>
              </w:rPr>
              <w:t>How much profit is left after the direct cost of the product. High margins signal pricing power.</w:t>
            </w:r>
          </w:p>
        </w:tc>
      </w:tr>
      <w:tr>
        <w:tc>
          <w:tcPr>
            <w:tcW w:type="dxa" w:w="3888"/>
            <w:shd w:val="clear" w:color="auto" w:fill="FFFFFF"/>
            <w:tcMar>
              <w:top w:w="60" w:type="dxa"/>
              <w:bottom w:w="60" w:type="dxa"/>
              <w:start w:w="110" w:type="dxa"/>
              <w:end w:w="110" w:type="dxa"/>
            </w:tcMar>
          </w:tcPr>
          <w:p>
            <w:pPr>
              <w:spacing w:line="252" w:lineRule="auto" w:after="0"/>
            </w:pPr>
            <w:r/>
            <w:r>
              <w:rPr>
                <w:b w:val="0"/>
              </w:rPr>
              <w:t>Free cash flow</w:t>
            </w:r>
          </w:p>
        </w:tc>
        <w:tc>
          <w:tcPr>
            <w:tcW w:type="dxa" w:w="5472"/>
            <w:shd w:val="clear" w:color="auto" w:fill="FFFFFF"/>
            <w:tcMar>
              <w:top w:w="60" w:type="dxa"/>
              <w:bottom w:w="60" w:type="dxa"/>
              <w:start w:w="110" w:type="dxa"/>
              <w:end w:w="110" w:type="dxa"/>
            </w:tcMar>
          </w:tcPr>
          <w:p>
            <w:pPr>
              <w:spacing w:line="252" w:lineRule="auto" w:after="0"/>
            </w:pPr>
            <w:r/>
            <w:r>
              <w:rPr>
                <w:b w:val="0"/>
              </w:rPr>
              <w:t>The real cash the business generates — harder to fake than accounting earnings.</w:t>
            </w:r>
          </w:p>
        </w:tc>
      </w:tr>
      <w:tr>
        <w:tc>
          <w:tcPr>
            <w:tcW w:type="dxa" w:w="3888"/>
            <w:shd w:val="clear" w:color="auto" w:fill="EEF2F8"/>
            <w:tcMar>
              <w:top w:w="60" w:type="dxa"/>
              <w:bottom w:w="60" w:type="dxa"/>
              <w:start w:w="110" w:type="dxa"/>
              <w:end w:w="110" w:type="dxa"/>
            </w:tcMar>
          </w:tcPr>
          <w:p>
            <w:pPr>
              <w:spacing w:line="252" w:lineRule="auto" w:after="0"/>
            </w:pPr>
            <w:r/>
            <w:r>
              <w:rPr>
                <w:b w:val="0"/>
              </w:rPr>
              <w:t>Debt-to-equity</w:t>
            </w:r>
          </w:p>
        </w:tc>
        <w:tc>
          <w:tcPr>
            <w:tcW w:type="dxa" w:w="5472"/>
            <w:shd w:val="clear" w:color="auto" w:fill="EEF2F8"/>
            <w:tcMar>
              <w:top w:w="60" w:type="dxa"/>
              <w:bottom w:w="60" w:type="dxa"/>
              <w:start w:w="110" w:type="dxa"/>
              <w:end w:w="110" w:type="dxa"/>
            </w:tcMar>
          </w:tcPr>
          <w:p>
            <w:pPr>
              <w:spacing w:line="252" w:lineRule="auto" w:after="0"/>
            </w:pPr>
            <w:r/>
            <w:r>
              <w:rPr>
                <w:b w:val="0"/>
              </w:rPr>
              <w:t>How much the company borrows. Too much debt turns a downturn into a crisis.</w:t>
            </w:r>
          </w:p>
        </w:tc>
      </w:tr>
      <w:tr>
        <w:tc>
          <w:tcPr>
            <w:tcW w:type="dxa" w:w="3888"/>
            <w:shd w:val="clear" w:color="auto" w:fill="FFFFFF"/>
            <w:tcMar>
              <w:top w:w="60" w:type="dxa"/>
              <w:bottom w:w="60" w:type="dxa"/>
              <w:start w:w="110" w:type="dxa"/>
              <w:end w:w="110" w:type="dxa"/>
            </w:tcMar>
          </w:tcPr>
          <w:p>
            <w:pPr>
              <w:spacing w:line="252" w:lineRule="auto" w:after="0"/>
            </w:pPr>
            <w:r/>
            <w:r>
              <w:rPr>
                <w:b w:val="0"/>
              </w:rPr>
              <w:t>Cash runway (small caps)</w:t>
            </w:r>
          </w:p>
        </w:tc>
        <w:tc>
          <w:tcPr>
            <w:tcW w:type="dxa" w:w="5472"/>
            <w:shd w:val="clear" w:color="auto" w:fill="FFFFFF"/>
            <w:tcMar>
              <w:top w:w="60" w:type="dxa"/>
              <w:bottom w:w="60" w:type="dxa"/>
              <w:start w:w="110" w:type="dxa"/>
              <w:end w:w="110" w:type="dxa"/>
            </w:tcMar>
          </w:tcPr>
          <w:p>
            <w:pPr>
              <w:spacing w:line="252" w:lineRule="auto" w:after="0"/>
            </w:pPr>
            <w:r/>
            <w:r>
              <w:rPr>
                <w:b w:val="0"/>
              </w:rPr>
              <w:t>How many quarters a young, unprofitable company can survive before needing more money.</w:t>
            </w:r>
          </w:p>
        </w:tc>
      </w:tr>
      <w:tr>
        <w:tc>
          <w:tcPr>
            <w:tcW w:type="dxa" w:w="3888"/>
            <w:shd w:val="clear" w:color="auto" w:fill="EEF2F8"/>
            <w:tcMar>
              <w:top w:w="60" w:type="dxa"/>
              <w:bottom w:w="60" w:type="dxa"/>
              <w:start w:w="110" w:type="dxa"/>
              <w:end w:w="110" w:type="dxa"/>
            </w:tcMar>
          </w:tcPr>
          <w:p>
            <w:pPr>
              <w:spacing w:line="252" w:lineRule="auto" w:after="0"/>
            </w:pPr>
            <w:r/>
            <w:r>
              <w:rPr>
                <w:b w:val="0"/>
              </w:rPr>
              <w:t>Price-to-earnings (P/E)</w:t>
            </w:r>
          </w:p>
        </w:tc>
        <w:tc>
          <w:tcPr>
            <w:tcW w:type="dxa" w:w="5472"/>
            <w:shd w:val="clear" w:color="auto" w:fill="EEF2F8"/>
            <w:tcMar>
              <w:top w:w="60" w:type="dxa"/>
              <w:bottom w:w="60" w:type="dxa"/>
              <w:start w:w="110" w:type="dxa"/>
              <w:end w:w="110" w:type="dxa"/>
            </w:tcMar>
          </w:tcPr>
          <w:p>
            <w:pPr>
              <w:spacing w:line="252" w:lineRule="auto" w:after="0"/>
            </w:pPr>
            <w:r/>
            <w:r>
              <w:rPr>
                <w:b w:val="0"/>
              </w:rPr>
              <w:t>How expensive the stock is relative to profits — used carefully (see below).</w:t>
            </w:r>
          </w:p>
        </w:tc>
      </w:tr>
      <w:tr>
        <w:tc>
          <w:tcPr>
            <w:tcW w:type="dxa" w:w="3888"/>
            <w:shd w:val="clear" w:color="auto" w:fill="FFFFFF"/>
            <w:tcMar>
              <w:top w:w="60" w:type="dxa"/>
              <w:bottom w:w="60" w:type="dxa"/>
              <w:start w:w="110" w:type="dxa"/>
              <w:end w:w="110" w:type="dxa"/>
            </w:tcMar>
          </w:tcPr>
          <w:p>
            <w:pPr>
              <w:spacing w:line="252" w:lineRule="auto" w:after="0"/>
            </w:pPr>
            <w:r/>
            <w:r>
              <w:rPr>
                <w:b w:val="0"/>
              </w:rPr>
              <w:t>Insider buying &amp; short interest</w:t>
            </w:r>
          </w:p>
        </w:tc>
        <w:tc>
          <w:tcPr>
            <w:tcW w:type="dxa" w:w="5472"/>
            <w:shd w:val="clear" w:color="auto" w:fill="FFFFFF"/>
            <w:tcMar>
              <w:top w:w="60" w:type="dxa"/>
              <w:bottom w:w="60" w:type="dxa"/>
              <w:start w:w="110" w:type="dxa"/>
              <w:end w:w="110" w:type="dxa"/>
            </w:tcMar>
          </w:tcPr>
          <w:p>
            <w:pPr>
              <w:spacing w:line="252" w:lineRule="auto" w:after="0"/>
            </w:pPr>
            <w:r/>
            <w:r>
              <w:rPr>
                <w:b w:val="0"/>
              </w:rPr>
              <w:t>Are executives buying their own stock? Are traders betting against it? Context clues.</w:t>
            </w:r>
          </w:p>
        </w:tc>
      </w:tr>
    </w:tbl>
    <w:p>
      <w:pPr>
        <w:spacing w:after="80"/>
      </w:pPr>
    </w:p>
    <w:p>
      <w:pPr>
        <w:pStyle w:val="Heading2"/>
        <w:spacing w:before="240" w:after="100"/>
      </w:pPr>
      <w:r>
        <w:rPr>
          <w:rFonts w:ascii="Calibri" w:hAnsi="Calibri"/>
          <w:b/>
          <w:color w:val="2E5496"/>
          <w:sz w:val="27"/>
        </w:rPr>
        <w:t>Valuation — the ‘is it too expensive?’ gate</w:t>
      </w:r>
    </w:p>
    <w:p>
      <w:pPr>
        <w:spacing w:after="120" w:before="0" w:line="276" w:lineRule="auto"/>
      </w:pPr>
      <w:r>
        <w:rPr>
          <w:b w:val="0"/>
        </w:rPr>
        <w:t xml:space="preserve">For long-term ideas, the system estimates a fair value using Benjamin Graham’s classic formula (which rewards earnings and growth) or a sector-average comparison. If a stock trades more than 10% above that fair value, it’s flagged </w:t>
      </w:r>
      <w:r>
        <w:rPr>
          <w:b/>
        </w:rPr>
        <w:t>overvalued</w:t>
      </w:r>
      <w:r>
        <w:rPr>
          <w:b w:val="0"/>
        </w:rPr>
        <w:t xml:space="preserve"> and its conviction is capped — we won’t pay any price for quality.</w:t>
      </w:r>
    </w:p>
    <w:tbl>
      <w:tblPr>
        <w:tblW w:type="auto" w:w="0"/>
        <w:jc w:val="center"/>
        <w:tblLook w:firstColumn="1" w:firstRow="1" w:lastColumn="0" w:lastRow="0" w:noHBand="0" w:noVBand="1" w:val="04A0"/>
      </w:tblPr>
      <w:tblGrid>
        <w:gridCol w:w="9360"/>
      </w:tblGrid>
      <w:tr>
        <w:tc>
          <w:tcPr>
            <w:tcW w:type="dxa" w:w="9360"/>
            <w:shd w:val="clear" w:color="auto" w:fill="EEF2F8"/>
            <w:tcMar>
              <w:top w:w="120" w:type="dxa"/>
              <w:bottom w:w="120" w:type="dxa"/>
              <w:start w:w="160" w:type="dxa"/>
              <w:end w:w="160" w:type="dxa"/>
            </w:tcMar>
            <w:tcBorders>
              <w:top w:val="single" w:sz="4" w:color="2E5496"/>
              <w:bottom w:val="single" w:sz="4" w:color="2E5496"/>
              <w:start w:val="single" w:sz="22" w:color="2E5496"/>
              <w:end w:val="single" w:sz="4" w:color="2E5496"/>
            </w:tcBorders>
          </w:tcPr>
          <w:p>
            <w:pPr>
              <w:spacing w:after="40"/>
            </w:pPr>
            <w:r>
              <w:rPr>
                <w:b/>
                <w:color w:val="2E5496"/>
              </w:rPr>
              <w:t>A genuine debate we’re actively testing: is ‘cheap’ even the right lens?</w:t>
            </w:r>
          </w:p>
          <w:p>
            <w:pPr>
              <w:spacing w:line="276" w:lineRule="auto" w:after="0"/>
            </w:pPr>
            <w:r>
              <w:rPr>
                <w:b w:val="0"/>
              </w:rPr>
              <w:t>Mark Minervini argues the P/E ratio has almost no power to predict the biggest winners — the best growth stocks often look ‘expensive’ right before their largest advances. This tensions directly with our Graham valuation gate. We resolved it deliberately: the valuation gate applies ONLY to the patient long-term track (where paying a fair price genuinely matters), and NOT to the swing and growth tracks (where we’re trading momentum, and ‘expensive’ is not a reason to pass). Section 11 describes the P/E experiments this produced.</w:t>
            </w:r>
          </w:p>
        </w:tc>
      </w:tr>
    </w:tbl>
    <w:p>
      <w:pPr>
        <w:spacing w:after="80"/>
      </w:pPr>
    </w:p>
    <w:p>
      <w:r>
        <w:br w:type="page"/>
      </w:r>
    </w:p>
    <w:p>
      <w:pPr>
        <w:pStyle w:val="Heading1"/>
        <w:spacing w:before="320" w:after="140"/>
      </w:pPr>
      <w:r>
        <w:rPr>
          <w:rFonts w:ascii="Calibri" w:hAnsi="Calibri"/>
          <w:b/>
          <w:color w:val="1F3864"/>
          <w:sz w:val="34"/>
        </w:rPr>
        <w:t>5. The Technicals and Chart Patterns</w:t>
      </w:r>
    </w:p>
    <w:p>
      <w:pPr>
        <w:spacing w:after="120" w:before="0" w:line="276" w:lineRule="auto"/>
      </w:pPr>
      <w:r>
        <w:rPr>
          <w:b w:val="0"/>
        </w:rPr>
        <w:t>‘Technicals’ means what the price chart itself is telling us — trend, momentum, and the tug-of-war between buyers and sellers. Fundamentals tell us *what* to buy; technicals help tell us *when*.</w:t>
      </w:r>
    </w:p>
    <w:p>
      <w:pPr>
        <w:pStyle w:val="Heading2"/>
        <w:spacing w:before="240" w:after="100"/>
      </w:pPr>
      <w:r>
        <w:rPr>
          <w:rFonts w:ascii="Calibri" w:hAnsi="Calibri"/>
          <w:b/>
          <w:color w:val="2E5496"/>
          <w:sz w:val="27"/>
        </w:rPr>
        <w:t>The core measurements</w:t>
      </w:r>
    </w:p>
    <w:tbl>
      <w:tblPr>
        <w:tblStyle w:val="TableGrid"/>
        <w:tblW w:type="auto" w:w="0"/>
        <w:jc w:val="center"/>
        <w:tblLook w:firstColumn="1" w:firstRow="1" w:lastColumn="0" w:lastRow="0" w:noHBand="0" w:noVBand="1" w:val="04A0"/>
      </w:tblPr>
      <w:tblGrid>
        <w:gridCol w:w="4680"/>
        <w:gridCol w:w="4680"/>
      </w:tblGrid>
      <w:tr>
        <w:tc>
          <w:tcPr>
            <w:tcW w:type="dxa" w:w="3744"/>
            <w:shd w:val="clear" w:color="auto" w:fill="1F3864"/>
            <w:tcMar>
              <w:top w:w="70" w:type="dxa"/>
              <w:bottom w:w="70" w:type="dxa"/>
              <w:start w:w="110" w:type="dxa"/>
              <w:end w:w="110" w:type="dxa"/>
            </w:tcMar>
          </w:tcPr>
          <w:p>
            <w:r/>
            <w:r>
              <w:rPr>
                <w:b/>
                <w:color w:val="FFFFFF"/>
              </w:rPr>
              <w:t>Indicator</w:t>
            </w:r>
          </w:p>
        </w:tc>
        <w:tc>
          <w:tcPr>
            <w:tcW w:type="dxa" w:w="5616"/>
            <w:shd w:val="clear" w:color="auto" w:fill="1F3864"/>
            <w:tcMar>
              <w:top w:w="70" w:type="dxa"/>
              <w:bottom w:w="70" w:type="dxa"/>
              <w:start w:w="110" w:type="dxa"/>
              <w:end w:w="110" w:type="dxa"/>
            </w:tcMar>
          </w:tcPr>
          <w:p>
            <w:r/>
            <w:r>
              <w:rPr>
                <w:b/>
                <w:color w:val="FFFFFF"/>
              </w:rPr>
              <w:t>In plain terms</w:t>
            </w:r>
          </w:p>
        </w:tc>
      </w:tr>
      <w:tr>
        <w:tc>
          <w:tcPr>
            <w:tcW w:type="dxa" w:w="3744"/>
            <w:shd w:val="clear" w:color="auto" w:fill="EEF2F8"/>
            <w:tcMar>
              <w:top w:w="60" w:type="dxa"/>
              <w:bottom w:w="60" w:type="dxa"/>
              <w:start w:w="110" w:type="dxa"/>
              <w:end w:w="110" w:type="dxa"/>
            </w:tcMar>
          </w:tcPr>
          <w:p>
            <w:pPr>
              <w:spacing w:line="252" w:lineRule="auto" w:after="0"/>
            </w:pPr>
            <w:r/>
            <w:r>
              <w:rPr>
                <w:b w:val="0"/>
              </w:rPr>
              <w:t>Moving averages (50/150/200-day)</w:t>
            </w:r>
          </w:p>
        </w:tc>
        <w:tc>
          <w:tcPr>
            <w:tcW w:type="dxa" w:w="5616"/>
            <w:shd w:val="clear" w:color="auto" w:fill="EEF2F8"/>
            <w:tcMar>
              <w:top w:w="60" w:type="dxa"/>
              <w:bottom w:w="60" w:type="dxa"/>
              <w:start w:w="110" w:type="dxa"/>
              <w:end w:w="110" w:type="dxa"/>
            </w:tcMar>
          </w:tcPr>
          <w:p>
            <w:pPr>
              <w:spacing w:line="252" w:lineRule="auto" w:after="0"/>
            </w:pPr>
            <w:r/>
            <w:r>
              <w:rPr>
                <w:b w:val="0"/>
              </w:rPr>
              <w:t>The average price over the last N days — a smoothed trend line. Price above a rising average = uptrend.</w:t>
            </w:r>
          </w:p>
        </w:tc>
      </w:tr>
      <w:tr>
        <w:tc>
          <w:tcPr>
            <w:tcW w:type="dxa" w:w="3744"/>
            <w:shd w:val="clear" w:color="auto" w:fill="FFFFFF"/>
            <w:tcMar>
              <w:top w:w="60" w:type="dxa"/>
              <w:bottom w:w="60" w:type="dxa"/>
              <w:start w:w="110" w:type="dxa"/>
              <w:end w:w="110" w:type="dxa"/>
            </w:tcMar>
          </w:tcPr>
          <w:p>
            <w:pPr>
              <w:spacing w:line="252" w:lineRule="auto" w:after="0"/>
            </w:pPr>
            <w:r/>
            <w:r>
              <w:rPr>
                <w:b w:val="0"/>
              </w:rPr>
              <w:t>RSI (Relative Strength Index)</w:t>
            </w:r>
          </w:p>
        </w:tc>
        <w:tc>
          <w:tcPr>
            <w:tcW w:type="dxa" w:w="5616"/>
            <w:shd w:val="clear" w:color="auto" w:fill="FFFFFF"/>
            <w:tcMar>
              <w:top w:w="60" w:type="dxa"/>
              <w:bottom w:w="60" w:type="dxa"/>
              <w:start w:w="110" w:type="dxa"/>
              <w:end w:w="110" w:type="dxa"/>
            </w:tcMar>
          </w:tcPr>
          <w:p>
            <w:pPr>
              <w:spacing w:line="252" w:lineRule="auto" w:after="0"/>
            </w:pPr>
            <w:r/>
            <w:r>
              <w:rPr>
                <w:b w:val="0"/>
              </w:rPr>
              <w:t>A 0–100 momentum gauge. Very high = possibly overbought; very low = possibly oversold.</w:t>
            </w:r>
          </w:p>
        </w:tc>
      </w:tr>
      <w:tr>
        <w:tc>
          <w:tcPr>
            <w:tcW w:type="dxa" w:w="3744"/>
            <w:shd w:val="clear" w:color="auto" w:fill="EEF2F8"/>
            <w:tcMar>
              <w:top w:w="60" w:type="dxa"/>
              <w:bottom w:w="60" w:type="dxa"/>
              <w:start w:w="110" w:type="dxa"/>
              <w:end w:w="110" w:type="dxa"/>
            </w:tcMar>
          </w:tcPr>
          <w:p>
            <w:pPr>
              <w:spacing w:line="252" w:lineRule="auto" w:after="0"/>
            </w:pPr>
            <w:r/>
            <w:r>
              <w:rPr>
                <w:b w:val="0"/>
              </w:rPr>
              <w:t>ATR (Average True Range)</w:t>
            </w:r>
          </w:p>
        </w:tc>
        <w:tc>
          <w:tcPr>
            <w:tcW w:type="dxa" w:w="5616"/>
            <w:shd w:val="clear" w:color="auto" w:fill="EEF2F8"/>
            <w:tcMar>
              <w:top w:w="60" w:type="dxa"/>
              <w:bottom w:w="60" w:type="dxa"/>
              <w:start w:w="110" w:type="dxa"/>
              <w:end w:w="110" w:type="dxa"/>
            </w:tcMar>
          </w:tcPr>
          <w:p>
            <w:pPr>
              <w:spacing w:line="252" w:lineRule="auto" w:after="0"/>
            </w:pPr>
            <w:r/>
            <w:r>
              <w:rPr>
                <w:b w:val="0"/>
              </w:rPr>
              <w:t>How much the stock typically moves in a day — its ‘normal’ volatility. Used to place stops beyond the noise.</w:t>
            </w:r>
          </w:p>
        </w:tc>
      </w:tr>
      <w:tr>
        <w:tc>
          <w:tcPr>
            <w:tcW w:type="dxa" w:w="3744"/>
            <w:shd w:val="clear" w:color="auto" w:fill="FFFFFF"/>
            <w:tcMar>
              <w:top w:w="60" w:type="dxa"/>
              <w:bottom w:w="60" w:type="dxa"/>
              <w:start w:w="110" w:type="dxa"/>
              <w:end w:w="110" w:type="dxa"/>
            </w:tcMar>
          </w:tcPr>
          <w:p>
            <w:pPr>
              <w:spacing w:line="252" w:lineRule="auto" w:after="0"/>
            </w:pPr>
            <w:r/>
            <w:r>
              <w:rPr>
                <w:b w:val="0"/>
              </w:rPr>
              <w:t>Relative strength vs. market</w:t>
            </w:r>
          </w:p>
        </w:tc>
        <w:tc>
          <w:tcPr>
            <w:tcW w:type="dxa" w:w="5616"/>
            <w:shd w:val="clear" w:color="auto" w:fill="FFFFFF"/>
            <w:tcMar>
              <w:top w:w="60" w:type="dxa"/>
              <w:bottom w:w="60" w:type="dxa"/>
              <w:start w:w="110" w:type="dxa"/>
              <w:end w:w="110" w:type="dxa"/>
            </w:tcMar>
          </w:tcPr>
          <w:p>
            <w:pPr>
              <w:spacing w:line="252" w:lineRule="auto" w:after="0"/>
            </w:pPr>
            <w:r/>
            <w:r>
              <w:rPr>
                <w:b w:val="0"/>
              </w:rPr>
              <w:t>Is this stock outperforming the broad market? Leaders lead; we want the leaders.</w:t>
            </w:r>
          </w:p>
        </w:tc>
      </w:tr>
      <w:tr>
        <w:tc>
          <w:tcPr>
            <w:tcW w:type="dxa" w:w="3744"/>
            <w:shd w:val="clear" w:color="auto" w:fill="EEF2F8"/>
            <w:tcMar>
              <w:top w:w="60" w:type="dxa"/>
              <w:bottom w:w="60" w:type="dxa"/>
              <w:start w:w="110" w:type="dxa"/>
              <w:end w:w="110" w:type="dxa"/>
            </w:tcMar>
          </w:tcPr>
          <w:p>
            <w:pPr>
              <w:spacing w:line="252" w:lineRule="auto" w:after="0"/>
            </w:pPr>
            <w:r/>
            <w:r>
              <w:rPr>
                <w:b w:val="0"/>
              </w:rPr>
              <w:t>Volume</w:t>
            </w:r>
          </w:p>
        </w:tc>
        <w:tc>
          <w:tcPr>
            <w:tcW w:type="dxa" w:w="5616"/>
            <w:shd w:val="clear" w:color="auto" w:fill="EEF2F8"/>
            <w:tcMar>
              <w:top w:w="60" w:type="dxa"/>
              <w:bottom w:w="60" w:type="dxa"/>
              <w:start w:w="110" w:type="dxa"/>
              <w:end w:w="110" w:type="dxa"/>
            </w:tcMar>
          </w:tcPr>
          <w:p>
            <w:pPr>
              <w:spacing w:line="252" w:lineRule="auto" w:after="0"/>
            </w:pPr>
            <w:r/>
            <w:r>
              <w:rPr>
                <w:b w:val="0"/>
              </w:rPr>
              <w:t>How many shares trade. A move on heavy volume is more meaningful than one on light volume.</w:t>
            </w:r>
          </w:p>
        </w:tc>
      </w:tr>
      <w:tr>
        <w:tc>
          <w:tcPr>
            <w:tcW w:type="dxa" w:w="3744"/>
            <w:shd w:val="clear" w:color="auto" w:fill="FFFFFF"/>
            <w:tcMar>
              <w:top w:w="60" w:type="dxa"/>
              <w:bottom w:w="60" w:type="dxa"/>
              <w:start w:w="110" w:type="dxa"/>
              <w:end w:w="110" w:type="dxa"/>
            </w:tcMar>
          </w:tcPr>
          <w:p>
            <w:pPr>
              <w:spacing w:line="252" w:lineRule="auto" w:after="0"/>
            </w:pPr>
            <w:r/>
            <w:r>
              <w:rPr>
                <w:b w:val="0"/>
              </w:rPr>
              <w:t>Stage analysis</w:t>
            </w:r>
          </w:p>
        </w:tc>
        <w:tc>
          <w:tcPr>
            <w:tcW w:type="dxa" w:w="5616"/>
            <w:shd w:val="clear" w:color="auto" w:fill="FFFFFF"/>
            <w:tcMar>
              <w:top w:w="60" w:type="dxa"/>
              <w:bottom w:w="60" w:type="dxa"/>
              <w:start w:w="110" w:type="dxa"/>
              <w:end w:w="110" w:type="dxa"/>
            </w:tcMar>
          </w:tcPr>
          <w:p>
            <w:pPr>
              <w:spacing w:line="252" w:lineRule="auto" w:after="0"/>
            </w:pPr>
            <w:r/>
            <w:r>
              <w:rPr>
                <w:b w:val="0"/>
              </w:rPr>
              <w:t>A stock’s life cycle: Stage 1 basing, 2 advancing, 3 topping, 4 declining. We buy Stage 2, avoid Stage 4.</w:t>
            </w:r>
          </w:p>
        </w:tc>
      </w:tr>
    </w:tbl>
    <w:p>
      <w:pPr>
        <w:spacing w:after="80"/>
      </w:pPr>
    </w:p>
    <w:p>
      <w:pPr>
        <w:pStyle w:val="Heading2"/>
        <w:spacing w:before="240" w:after="100"/>
      </w:pPr>
      <w:r>
        <w:rPr>
          <w:rFonts w:ascii="Calibri" w:hAnsi="Calibri"/>
          <w:b/>
          <w:color w:val="2E5496"/>
          <w:sz w:val="27"/>
        </w:rPr>
        <w:t>The seven swing signals</w:t>
      </w:r>
    </w:p>
    <w:p>
      <w:pPr>
        <w:spacing w:after="120" w:before="0" w:line="276" w:lineRule="auto"/>
      </w:pPr>
      <w:r>
        <w:rPr>
          <w:b w:val="0"/>
        </w:rPr>
        <w:t>Every swing candidate is scored on these seven signals. Firing five or more is rare and strong; three to four is a solid medium; two is weak. This is deliberately demanding — the top tier needs unusual confirmation like insider buying on top of the common signals.</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1F3864"/>
            <w:tcMar>
              <w:top w:w="70" w:type="dxa"/>
              <w:bottom w:w="70" w:type="dxa"/>
              <w:start w:w="110" w:type="dxa"/>
              <w:end w:w="110" w:type="dxa"/>
            </w:tcMar>
          </w:tcPr>
          <w:p>
            <w:r/>
            <w:r>
              <w:rPr>
                <w:b/>
                <w:color w:val="FFFFFF"/>
              </w:rPr>
              <w:t>Signal</w:t>
            </w:r>
          </w:p>
        </w:tc>
        <w:tc>
          <w:tcPr>
            <w:tcW w:type="dxa" w:w="5760"/>
            <w:shd w:val="clear" w:color="auto" w:fill="1F3864"/>
            <w:tcMar>
              <w:top w:w="70" w:type="dxa"/>
              <w:bottom w:w="70" w:type="dxa"/>
              <w:start w:w="110" w:type="dxa"/>
              <w:end w:w="110" w:type="dxa"/>
            </w:tcMar>
          </w:tcPr>
          <w:p>
            <w:r/>
            <w:r>
              <w:rPr>
                <w:b/>
                <w:color w:val="FFFFFF"/>
              </w:rPr>
              <w:t>Fires when…</w:t>
            </w:r>
          </w:p>
        </w:tc>
      </w:tr>
      <w:tr>
        <w:tc>
          <w:tcPr>
            <w:tcW w:type="dxa" w:w="3600"/>
            <w:shd w:val="clear" w:color="auto" w:fill="EEF2F8"/>
            <w:tcMar>
              <w:top w:w="60" w:type="dxa"/>
              <w:bottom w:w="60" w:type="dxa"/>
              <w:start w:w="110" w:type="dxa"/>
              <w:end w:w="110" w:type="dxa"/>
            </w:tcMar>
          </w:tcPr>
          <w:p>
            <w:pPr>
              <w:spacing w:line="252" w:lineRule="auto" w:after="0"/>
            </w:pPr>
            <w:r/>
            <w:r>
              <w:rPr>
                <w:b w:val="0"/>
              </w:rPr>
              <w:t>Volume accumulation</w:t>
            </w:r>
          </w:p>
        </w:tc>
        <w:tc>
          <w:tcPr>
            <w:tcW w:type="dxa" w:w="5760"/>
            <w:shd w:val="clear" w:color="auto" w:fill="EEF2F8"/>
            <w:tcMar>
              <w:top w:w="60" w:type="dxa"/>
              <w:bottom w:w="60" w:type="dxa"/>
              <w:start w:w="110" w:type="dxa"/>
              <w:end w:w="110" w:type="dxa"/>
            </w:tcMar>
          </w:tcPr>
          <w:p>
            <w:pPr>
              <w:spacing w:line="252" w:lineRule="auto" w:after="0"/>
            </w:pPr>
            <w:r/>
            <w:r>
              <w:rPr>
                <w:b w:val="0"/>
              </w:rPr>
              <w:t>Recent 20-day volume is ≥20% above the 90-day average — big money is quietly buying.</w:t>
            </w:r>
          </w:p>
        </w:tc>
      </w:tr>
      <w:tr>
        <w:tc>
          <w:tcPr>
            <w:tcW w:type="dxa" w:w="3600"/>
            <w:shd w:val="clear" w:color="auto" w:fill="FFFFFF"/>
            <w:tcMar>
              <w:top w:w="60" w:type="dxa"/>
              <w:bottom w:w="60" w:type="dxa"/>
              <w:start w:w="110" w:type="dxa"/>
              <w:end w:w="110" w:type="dxa"/>
            </w:tcMar>
          </w:tcPr>
          <w:p>
            <w:pPr>
              <w:spacing w:line="252" w:lineRule="auto" w:after="0"/>
            </w:pPr>
            <w:r/>
            <w:r>
              <w:rPr>
                <w:b w:val="0"/>
              </w:rPr>
              <w:t>Relative strength</w:t>
            </w:r>
          </w:p>
        </w:tc>
        <w:tc>
          <w:tcPr>
            <w:tcW w:type="dxa" w:w="5760"/>
            <w:shd w:val="clear" w:color="auto" w:fill="FFFFFF"/>
            <w:tcMar>
              <w:top w:w="60" w:type="dxa"/>
              <w:bottom w:w="60" w:type="dxa"/>
              <w:start w:w="110" w:type="dxa"/>
              <w:end w:w="110" w:type="dxa"/>
            </w:tcMar>
          </w:tcPr>
          <w:p>
            <w:pPr>
              <w:spacing w:line="252" w:lineRule="auto" w:after="0"/>
            </w:pPr>
            <w:r/>
            <w:r>
              <w:rPr>
                <w:b w:val="0"/>
              </w:rPr>
              <w:t>The stock is outperforming its sector and the broad market.</w:t>
            </w:r>
          </w:p>
        </w:tc>
      </w:tr>
      <w:tr>
        <w:tc>
          <w:tcPr>
            <w:tcW w:type="dxa" w:w="3600"/>
            <w:shd w:val="clear" w:color="auto" w:fill="EEF2F8"/>
            <w:tcMar>
              <w:top w:w="60" w:type="dxa"/>
              <w:bottom w:w="60" w:type="dxa"/>
              <w:start w:w="110" w:type="dxa"/>
              <w:end w:w="110" w:type="dxa"/>
            </w:tcMar>
          </w:tcPr>
          <w:p>
            <w:pPr>
              <w:spacing w:line="252" w:lineRule="auto" w:after="0"/>
            </w:pPr>
            <w:r/>
            <w:r>
              <w:rPr>
                <w:b w:val="0"/>
              </w:rPr>
              <w:t>Price structure</w:t>
            </w:r>
          </w:p>
        </w:tc>
        <w:tc>
          <w:tcPr>
            <w:tcW w:type="dxa" w:w="5760"/>
            <w:shd w:val="clear" w:color="auto" w:fill="EEF2F8"/>
            <w:tcMar>
              <w:top w:w="60" w:type="dxa"/>
              <w:bottom w:w="60" w:type="dxa"/>
              <w:start w:w="110" w:type="dxa"/>
              <w:end w:w="110" w:type="dxa"/>
            </w:tcMar>
          </w:tcPr>
          <w:p>
            <w:pPr>
              <w:spacing w:line="252" w:lineRule="auto" w:after="0"/>
            </w:pPr>
            <w:r/>
            <w:r>
              <w:rPr>
                <w:b w:val="0"/>
              </w:rPr>
              <w:t>The stock passes Minervini’s Trend Template — stacked rising averages, well off its lows, near its highs, top-30% strength.</w:t>
            </w:r>
          </w:p>
        </w:tc>
      </w:tr>
      <w:tr>
        <w:tc>
          <w:tcPr>
            <w:tcW w:type="dxa" w:w="3600"/>
            <w:shd w:val="clear" w:color="auto" w:fill="FFFFFF"/>
            <w:tcMar>
              <w:top w:w="60" w:type="dxa"/>
              <w:bottom w:w="60" w:type="dxa"/>
              <w:start w:w="110" w:type="dxa"/>
              <w:end w:w="110" w:type="dxa"/>
            </w:tcMar>
          </w:tcPr>
          <w:p>
            <w:pPr>
              <w:spacing w:line="252" w:lineRule="auto" w:after="0"/>
            </w:pPr>
            <w:r/>
            <w:r>
              <w:rPr>
                <w:b w:val="0"/>
              </w:rPr>
              <w:t>Catalyst proximity</w:t>
            </w:r>
          </w:p>
        </w:tc>
        <w:tc>
          <w:tcPr>
            <w:tcW w:type="dxa" w:w="5760"/>
            <w:shd w:val="clear" w:color="auto" w:fill="FFFFFF"/>
            <w:tcMar>
              <w:top w:w="60" w:type="dxa"/>
              <w:bottom w:w="60" w:type="dxa"/>
              <w:start w:w="110" w:type="dxa"/>
              <w:end w:w="110" w:type="dxa"/>
            </w:tcMar>
          </w:tcPr>
          <w:p>
            <w:pPr>
              <w:spacing w:line="252" w:lineRule="auto" w:after="0"/>
            </w:pPr>
            <w:r/>
            <w:r>
              <w:rPr>
                <w:b w:val="0"/>
              </w:rPr>
              <w:t>Earnings are 2–5 weeks away AND other signals are already firing (a date alone isn’t enough).</w:t>
            </w:r>
          </w:p>
        </w:tc>
      </w:tr>
      <w:tr>
        <w:tc>
          <w:tcPr>
            <w:tcW w:type="dxa" w:w="3600"/>
            <w:shd w:val="clear" w:color="auto" w:fill="EEF2F8"/>
            <w:tcMar>
              <w:top w:w="60" w:type="dxa"/>
              <w:bottom w:w="60" w:type="dxa"/>
              <w:start w:w="110" w:type="dxa"/>
              <w:end w:w="110" w:type="dxa"/>
            </w:tcMar>
          </w:tcPr>
          <w:p>
            <w:pPr>
              <w:spacing w:line="252" w:lineRule="auto" w:after="0"/>
            </w:pPr>
            <w:r/>
            <w:r>
              <w:rPr>
                <w:b w:val="0"/>
              </w:rPr>
              <w:t>Narrative momentum</w:t>
            </w:r>
          </w:p>
        </w:tc>
        <w:tc>
          <w:tcPr>
            <w:tcW w:type="dxa" w:w="5760"/>
            <w:shd w:val="clear" w:color="auto" w:fill="EEF2F8"/>
            <w:tcMar>
              <w:top w:w="60" w:type="dxa"/>
              <w:bottom w:w="60" w:type="dxa"/>
              <w:start w:w="110" w:type="dxa"/>
              <w:end w:w="110" w:type="dxa"/>
            </w:tcMar>
          </w:tcPr>
          <w:p>
            <w:pPr>
              <w:spacing w:line="252" w:lineRule="auto" w:after="0"/>
            </w:pPr>
            <w:r/>
            <w:r>
              <w:rPr>
                <w:b w:val="0"/>
              </w:rPr>
              <w:t>The company is consistently beating estimates with strong revenue growth.</w:t>
            </w:r>
          </w:p>
        </w:tc>
      </w:tr>
      <w:tr>
        <w:tc>
          <w:tcPr>
            <w:tcW w:type="dxa" w:w="3600"/>
            <w:shd w:val="clear" w:color="auto" w:fill="FFFFFF"/>
            <w:tcMar>
              <w:top w:w="60" w:type="dxa"/>
              <w:bottom w:w="60" w:type="dxa"/>
              <w:start w:w="110" w:type="dxa"/>
              <w:end w:w="110" w:type="dxa"/>
            </w:tcMar>
          </w:tcPr>
          <w:p>
            <w:pPr>
              <w:spacing w:line="252" w:lineRule="auto" w:after="0"/>
            </w:pPr>
            <w:r/>
            <w:r>
              <w:rPr>
                <w:b w:val="0"/>
              </w:rPr>
              <w:t>Insider buying</w:t>
            </w:r>
          </w:p>
        </w:tc>
        <w:tc>
          <w:tcPr>
            <w:tcW w:type="dxa" w:w="5760"/>
            <w:shd w:val="clear" w:color="auto" w:fill="FFFFFF"/>
            <w:tcMar>
              <w:top w:w="60" w:type="dxa"/>
              <w:bottom w:w="60" w:type="dxa"/>
              <w:start w:w="110" w:type="dxa"/>
              <w:end w:w="110" w:type="dxa"/>
            </w:tcMar>
          </w:tcPr>
          <w:p>
            <w:pPr>
              <w:spacing w:line="252" w:lineRule="auto" w:after="0"/>
            </w:pPr>
            <w:r/>
            <w:r>
              <w:rPr>
                <w:b w:val="0"/>
              </w:rPr>
              <w:t>Executives are buying their own shares on the open market (rare, but a strong tell).</w:t>
            </w:r>
          </w:p>
        </w:tc>
      </w:tr>
      <w:tr>
        <w:tc>
          <w:tcPr>
            <w:tcW w:type="dxa" w:w="3600"/>
            <w:shd w:val="clear" w:color="auto" w:fill="EEF2F8"/>
            <w:tcMar>
              <w:top w:w="60" w:type="dxa"/>
              <w:bottom w:w="60" w:type="dxa"/>
              <w:start w:w="110" w:type="dxa"/>
              <w:end w:w="110" w:type="dxa"/>
            </w:tcMar>
          </w:tcPr>
          <w:p>
            <w:pPr>
              <w:spacing w:line="252" w:lineRule="auto" w:after="0"/>
            </w:pPr>
            <w:r/>
            <w:r>
              <w:rPr>
                <w:b w:val="0"/>
              </w:rPr>
              <w:t>Short squeeze</w:t>
            </w:r>
          </w:p>
        </w:tc>
        <w:tc>
          <w:tcPr>
            <w:tcW w:type="dxa" w:w="5760"/>
            <w:shd w:val="clear" w:color="auto" w:fill="EEF2F8"/>
            <w:tcMar>
              <w:top w:w="60" w:type="dxa"/>
              <w:bottom w:w="60" w:type="dxa"/>
              <w:start w:w="110" w:type="dxa"/>
              <w:end w:w="110" w:type="dxa"/>
            </w:tcMar>
          </w:tcPr>
          <w:p>
            <w:pPr>
              <w:spacing w:line="252" w:lineRule="auto" w:after="0"/>
            </w:pPr>
            <w:r/>
            <w:r>
              <w:rPr>
                <w:b w:val="0"/>
              </w:rPr>
              <w:t>A heavily-shorted stock in an uptrend that could force bearish traders to buy back in a hurry.</w:t>
            </w:r>
          </w:p>
        </w:tc>
      </w:tr>
    </w:tbl>
    <w:p>
      <w:pPr>
        <w:spacing w:after="80"/>
      </w:pPr>
    </w:p>
    <w:p>
      <w:pPr>
        <w:pStyle w:val="Heading2"/>
        <w:spacing w:before="240" w:after="100"/>
      </w:pPr>
      <w:r>
        <w:rPr>
          <w:rFonts w:ascii="Calibri" w:hAnsi="Calibri"/>
          <w:b/>
          <w:color w:val="2E5496"/>
          <w:sz w:val="27"/>
        </w:rPr>
        <w:t>Reading the chart with AI vision</w:t>
      </w:r>
    </w:p>
    <w:p>
      <w:pPr>
        <w:spacing w:after="120" w:before="0" w:line="276" w:lineRule="auto"/>
      </w:pPr>
      <w:r>
        <w:rPr>
          <w:b w:val="0"/>
        </w:rPr>
        <w:t xml:space="preserve">For the finalists, the system renders a clean three-panel chart and hands it to an AI vision model — the same kind of technology that lets a computer describe a photograph. It identifies the pattern (from a vocabulary of 18, including flags, triangles, bases, and reversals), decides whether this is a genuine entry (a breakout, pullback, or bounce) or a ‘wait,’ and proposes exactly where the protective stop should sit. Crucially, the AI is also given the </w:t>
      </w:r>
      <w:r>
        <w:rPr>
          <w:b/>
        </w:rPr>
        <w:t>exact volume numbers</w:t>
      </w:r>
      <w:r>
        <w:rPr>
          <w:b w:val="0"/>
        </w:rPr>
        <w:t xml:space="preserve"> so it reasons with real data rather than eyeballing bar heights — the picture is for structure, the numbers are for judgment.</w:t>
      </w:r>
    </w:p>
    <w:p>
      <w:r>
        <w:br w:type="page"/>
      </w:r>
    </w:p>
    <w:p>
      <w:pPr>
        <w:pStyle w:val="Heading1"/>
        <w:spacing w:before="320" w:after="140"/>
      </w:pPr>
      <w:r>
        <w:rPr>
          <w:rFonts w:ascii="Calibri" w:hAnsi="Calibri"/>
          <w:b/>
          <w:color w:val="1F3864"/>
          <w:sz w:val="34"/>
        </w:rPr>
        <w:t>6. The Seven-Analyst Assembly Line</w:t>
      </w:r>
    </w:p>
    <w:p>
      <w:pPr>
        <w:spacing w:after="120" w:before="0" w:line="276" w:lineRule="auto"/>
      </w:pPr>
      <w:r>
        <w:rPr>
          <w:b w:val="0"/>
        </w:rPr>
        <w:t>For the deep long-term analysis, a candidate passes down an assembly line of seven specialized ‘agents.’ Each is an AI or rule-based module with one job. Think of them as a research desk where every analyst has a specialty and the chief only signs off when the whole desk agrees.</w:t>
      </w:r>
    </w:p>
    <w:tbl>
      <w:tblPr>
        <w:tblStyle w:val="TableGrid"/>
        <w:tblW w:type="auto" w:w="0"/>
        <w:jc w:val="center"/>
        <w:tblLook w:firstColumn="1" w:firstRow="1" w:lastColumn="0" w:lastRow="0" w:noHBand="0" w:noVBand="1" w:val="04A0"/>
      </w:tblPr>
      <w:tblGrid>
        <w:gridCol w:w="4680"/>
        <w:gridCol w:w="4680"/>
      </w:tblGrid>
      <w:tr>
        <w:tc>
          <w:tcPr>
            <w:tcW w:type="dxa" w:w="3456"/>
            <w:shd w:val="clear" w:color="auto" w:fill="1F3864"/>
            <w:tcMar>
              <w:top w:w="70" w:type="dxa"/>
              <w:bottom w:w="70" w:type="dxa"/>
              <w:start w:w="110" w:type="dxa"/>
              <w:end w:w="110" w:type="dxa"/>
            </w:tcMar>
          </w:tcPr>
          <w:p>
            <w:r/>
            <w:r>
              <w:rPr>
                <w:b/>
                <w:color w:val="FFFFFF"/>
              </w:rPr>
              <w:t>Agent</w:t>
            </w:r>
          </w:p>
        </w:tc>
        <w:tc>
          <w:tcPr>
            <w:tcW w:type="dxa" w:w="5904"/>
            <w:shd w:val="clear" w:color="auto" w:fill="1F3864"/>
            <w:tcMar>
              <w:top w:w="70" w:type="dxa"/>
              <w:bottom w:w="70" w:type="dxa"/>
              <w:start w:w="110" w:type="dxa"/>
              <w:end w:w="110" w:type="dxa"/>
            </w:tcMar>
          </w:tcPr>
          <w:p>
            <w:r/>
            <w:r>
              <w:rPr>
                <w:b/>
                <w:color w:val="FFFFFF"/>
              </w:rPr>
              <w:t>Its one job</w:t>
            </w:r>
          </w:p>
        </w:tc>
      </w:tr>
      <w:tr>
        <w:tc>
          <w:tcPr>
            <w:tcW w:type="dxa" w:w="3456"/>
            <w:shd w:val="clear" w:color="auto" w:fill="EEF2F8"/>
            <w:tcMar>
              <w:top w:w="60" w:type="dxa"/>
              <w:bottom w:w="60" w:type="dxa"/>
              <w:start w:w="110" w:type="dxa"/>
              <w:end w:w="110" w:type="dxa"/>
            </w:tcMar>
          </w:tcPr>
          <w:p>
            <w:pPr>
              <w:spacing w:line="252" w:lineRule="auto" w:after="0"/>
            </w:pPr>
            <w:r/>
            <w:r>
              <w:rPr>
                <w:b w:val="0"/>
              </w:rPr>
              <w:t>1. Hunter</w:t>
            </w:r>
          </w:p>
        </w:tc>
        <w:tc>
          <w:tcPr>
            <w:tcW w:type="dxa" w:w="5904"/>
            <w:shd w:val="clear" w:color="auto" w:fill="EEF2F8"/>
            <w:tcMar>
              <w:top w:w="60" w:type="dxa"/>
              <w:bottom w:w="60" w:type="dxa"/>
              <w:start w:w="110" w:type="dxa"/>
              <w:end w:w="110" w:type="dxa"/>
            </w:tcMar>
          </w:tcPr>
          <w:p>
            <w:pPr>
              <w:spacing w:line="252" w:lineRule="auto" w:after="0"/>
            </w:pPr>
            <w:r/>
            <w:r>
              <w:rPr>
                <w:b w:val="0"/>
              </w:rPr>
              <w:t>Scores the stock 0–10 on business quality, technicals, and valuation. The opening opinion.</w:t>
            </w:r>
          </w:p>
        </w:tc>
      </w:tr>
      <w:tr>
        <w:tc>
          <w:tcPr>
            <w:tcW w:type="dxa" w:w="3456"/>
            <w:shd w:val="clear" w:color="auto" w:fill="FFFFFF"/>
            <w:tcMar>
              <w:top w:w="60" w:type="dxa"/>
              <w:bottom w:w="60" w:type="dxa"/>
              <w:start w:w="110" w:type="dxa"/>
              <w:end w:w="110" w:type="dxa"/>
            </w:tcMar>
          </w:tcPr>
          <w:p>
            <w:pPr>
              <w:spacing w:line="252" w:lineRule="auto" w:after="0"/>
            </w:pPr>
            <w:r/>
            <w:r>
              <w:rPr>
                <w:b w:val="0"/>
              </w:rPr>
              <w:t>2. Critic</w:t>
            </w:r>
          </w:p>
        </w:tc>
        <w:tc>
          <w:tcPr>
            <w:tcW w:type="dxa" w:w="5904"/>
            <w:shd w:val="clear" w:color="auto" w:fill="FFFFFF"/>
            <w:tcMar>
              <w:top w:w="60" w:type="dxa"/>
              <w:bottom w:w="60" w:type="dxa"/>
              <w:start w:w="110" w:type="dxa"/>
              <w:end w:w="110" w:type="dxa"/>
            </w:tcMar>
          </w:tcPr>
          <w:p>
            <w:pPr>
              <w:spacing w:line="252" w:lineRule="auto" w:after="0"/>
            </w:pPr>
            <w:r/>
            <w:r>
              <w:rPr>
                <w:b w:val="0"/>
              </w:rPr>
              <w:t>Hunts for red flags and deal-breakers — lawsuits, accounting problems, regulatory trouble. Can veto anything.</w:t>
            </w:r>
          </w:p>
        </w:tc>
      </w:tr>
      <w:tr>
        <w:tc>
          <w:tcPr>
            <w:tcW w:type="dxa" w:w="3456"/>
            <w:shd w:val="clear" w:color="auto" w:fill="EEF2F8"/>
            <w:tcMar>
              <w:top w:w="60" w:type="dxa"/>
              <w:bottom w:w="60" w:type="dxa"/>
              <w:start w:w="110" w:type="dxa"/>
              <w:end w:w="110" w:type="dxa"/>
            </w:tcMar>
          </w:tcPr>
          <w:p>
            <w:pPr>
              <w:spacing w:line="252" w:lineRule="auto" w:after="0"/>
            </w:pPr>
            <w:r/>
            <w:r>
              <w:rPr>
                <w:b w:val="0"/>
              </w:rPr>
              <w:t>3. Sentiment</w:t>
            </w:r>
          </w:p>
        </w:tc>
        <w:tc>
          <w:tcPr>
            <w:tcW w:type="dxa" w:w="5904"/>
            <w:shd w:val="clear" w:color="auto" w:fill="EEF2F8"/>
            <w:tcMar>
              <w:top w:w="60" w:type="dxa"/>
              <w:bottom w:w="60" w:type="dxa"/>
              <w:start w:w="110" w:type="dxa"/>
              <w:end w:w="110" w:type="dxa"/>
            </w:tcMar>
          </w:tcPr>
          <w:p>
            <w:pPr>
              <w:spacing w:line="252" w:lineRule="auto" w:after="0"/>
            </w:pPr>
            <w:r/>
            <w:r>
              <w:rPr>
                <w:b w:val="0"/>
              </w:rPr>
              <w:t>Reads the news, analyst opinions, and earnings tone to gauge the mood around the stock.</w:t>
            </w:r>
          </w:p>
        </w:tc>
      </w:tr>
      <w:tr>
        <w:tc>
          <w:tcPr>
            <w:tcW w:type="dxa" w:w="3456"/>
            <w:shd w:val="clear" w:color="auto" w:fill="FFFFFF"/>
            <w:tcMar>
              <w:top w:w="60" w:type="dxa"/>
              <w:bottom w:w="60" w:type="dxa"/>
              <w:start w:w="110" w:type="dxa"/>
              <w:end w:w="110" w:type="dxa"/>
            </w:tcMar>
          </w:tcPr>
          <w:p>
            <w:pPr>
              <w:spacing w:line="252" w:lineRule="auto" w:after="0"/>
            </w:pPr>
            <w:r/>
            <w:r>
              <w:rPr>
                <w:b w:val="0"/>
              </w:rPr>
              <w:t>4. Validator</w:t>
            </w:r>
          </w:p>
        </w:tc>
        <w:tc>
          <w:tcPr>
            <w:tcW w:type="dxa" w:w="5904"/>
            <w:shd w:val="clear" w:color="auto" w:fill="FFFFFF"/>
            <w:tcMar>
              <w:top w:w="60" w:type="dxa"/>
              <w:bottom w:w="60" w:type="dxa"/>
              <w:start w:w="110" w:type="dxa"/>
              <w:end w:w="110" w:type="dxa"/>
            </w:tcMar>
          </w:tcPr>
          <w:p>
            <w:pPr>
              <w:spacing w:line="252" w:lineRule="auto" w:after="0"/>
            </w:pPr>
            <w:r/>
            <w:r>
              <w:rPr>
                <w:b w:val="0"/>
              </w:rPr>
              <w:t>Combines every input into the final verdict: Buy, Watchlist, or Avoid.</w:t>
            </w:r>
          </w:p>
        </w:tc>
      </w:tr>
      <w:tr>
        <w:tc>
          <w:tcPr>
            <w:tcW w:type="dxa" w:w="3456"/>
            <w:shd w:val="clear" w:color="auto" w:fill="EEF2F8"/>
            <w:tcMar>
              <w:top w:w="60" w:type="dxa"/>
              <w:bottom w:w="60" w:type="dxa"/>
              <w:start w:w="110" w:type="dxa"/>
              <w:end w:w="110" w:type="dxa"/>
            </w:tcMar>
          </w:tcPr>
          <w:p>
            <w:pPr>
              <w:spacing w:line="252" w:lineRule="auto" w:after="0"/>
            </w:pPr>
            <w:r/>
            <w:r>
              <w:rPr>
                <w:b w:val="0"/>
              </w:rPr>
              <w:t>5. Portfolio Manager</w:t>
            </w:r>
          </w:p>
        </w:tc>
        <w:tc>
          <w:tcPr>
            <w:tcW w:type="dxa" w:w="5904"/>
            <w:shd w:val="clear" w:color="auto" w:fill="EEF2F8"/>
            <w:tcMar>
              <w:top w:w="60" w:type="dxa"/>
              <w:bottom w:w="60" w:type="dxa"/>
              <w:start w:w="110" w:type="dxa"/>
              <w:end w:w="110" w:type="dxa"/>
            </w:tcMar>
          </w:tcPr>
          <w:p>
            <w:pPr>
              <w:spacing w:line="252" w:lineRule="auto" w:after="0"/>
            </w:pPr>
            <w:r/>
            <w:r>
              <w:rPr>
                <w:b w:val="0"/>
              </w:rPr>
              <w:t>Decides position size by conviction, and enforces limits so we’re never over-concentrated.</w:t>
            </w:r>
          </w:p>
        </w:tc>
      </w:tr>
      <w:tr>
        <w:tc>
          <w:tcPr>
            <w:tcW w:type="dxa" w:w="3456"/>
            <w:shd w:val="clear" w:color="auto" w:fill="FFFFFF"/>
            <w:tcMar>
              <w:top w:w="60" w:type="dxa"/>
              <w:bottom w:w="60" w:type="dxa"/>
              <w:start w:w="110" w:type="dxa"/>
              <w:end w:w="110" w:type="dxa"/>
            </w:tcMar>
          </w:tcPr>
          <w:p>
            <w:pPr>
              <w:spacing w:line="252" w:lineRule="auto" w:after="0"/>
            </w:pPr>
            <w:r/>
            <w:r>
              <w:rPr>
                <w:b w:val="0"/>
              </w:rPr>
              <w:t>6. Scout</w:t>
            </w:r>
          </w:p>
        </w:tc>
        <w:tc>
          <w:tcPr>
            <w:tcW w:type="dxa" w:w="5904"/>
            <w:shd w:val="clear" w:color="auto" w:fill="FFFFFF"/>
            <w:tcMar>
              <w:top w:w="60" w:type="dxa"/>
              <w:bottom w:w="60" w:type="dxa"/>
              <w:start w:w="110" w:type="dxa"/>
              <w:end w:w="110" w:type="dxa"/>
            </w:tcMar>
          </w:tcPr>
          <w:p>
            <w:pPr>
              <w:spacing w:line="252" w:lineRule="auto" w:after="0"/>
            </w:pPr>
            <w:r/>
            <w:r>
              <w:rPr>
                <w:b w:val="0"/>
              </w:rPr>
              <w:t>Runs the weekly sector funnel that decides which corners of the market deserve attention.</w:t>
            </w:r>
          </w:p>
        </w:tc>
      </w:tr>
      <w:tr>
        <w:tc>
          <w:tcPr>
            <w:tcW w:type="dxa" w:w="3456"/>
            <w:shd w:val="clear" w:color="auto" w:fill="EEF2F8"/>
            <w:tcMar>
              <w:top w:w="60" w:type="dxa"/>
              <w:bottom w:w="60" w:type="dxa"/>
              <w:start w:w="110" w:type="dxa"/>
              <w:end w:w="110" w:type="dxa"/>
            </w:tcMar>
          </w:tcPr>
          <w:p>
            <w:pPr>
              <w:spacing w:line="252" w:lineRule="auto" w:after="0"/>
            </w:pPr>
            <w:r/>
            <w:r>
              <w:rPr>
                <w:b w:val="0"/>
              </w:rPr>
              <w:t>7. Journal</w:t>
            </w:r>
          </w:p>
        </w:tc>
        <w:tc>
          <w:tcPr>
            <w:tcW w:type="dxa" w:w="5904"/>
            <w:shd w:val="clear" w:color="auto" w:fill="EEF2F8"/>
            <w:tcMar>
              <w:top w:w="60" w:type="dxa"/>
              <w:bottom w:w="60" w:type="dxa"/>
              <w:start w:w="110" w:type="dxa"/>
              <w:end w:w="110" w:type="dxa"/>
            </w:tcMar>
          </w:tcPr>
          <w:p>
            <w:pPr>
              <w:spacing w:line="252" w:lineRule="auto" w:after="0"/>
            </w:pPr>
            <w:r/>
            <w:r>
              <w:rPr>
                <w:b w:val="0"/>
              </w:rPr>
              <w:t>Logs every decision and watches for drift between what we said and what we did.</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FBE9DD"/>
            <w:tcMar>
              <w:top w:w="120" w:type="dxa"/>
              <w:bottom w:w="120" w:type="dxa"/>
              <w:start w:w="160" w:type="dxa"/>
              <w:end w:w="160" w:type="dxa"/>
            </w:tcMar>
            <w:tcBorders>
              <w:top w:val="single" w:sz="4" w:color="C55A11"/>
              <w:bottom w:val="single" w:sz="4" w:color="C55A11"/>
              <w:start w:val="single" w:sz="22" w:color="C55A11"/>
              <w:end w:val="single" w:sz="4" w:color="C55A11"/>
            </w:tcBorders>
          </w:tcPr>
          <w:p>
            <w:pPr>
              <w:spacing w:after="40"/>
            </w:pPr>
            <w:r>
              <w:rPr>
                <w:b/>
                <w:color w:val="C55A11"/>
              </w:rPr>
              <w:t>The kill switch</w:t>
            </w:r>
          </w:p>
          <w:p>
            <w:pPr>
              <w:spacing w:line="276" w:lineRule="auto" w:after="0"/>
            </w:pPr>
            <w:r>
              <w:rPr>
                <w:b w:val="0"/>
              </w:rPr>
              <w:t>Some findings are absolute. If the Critic finds active litigation, an SEC investigation, or auditor trouble, conviction is forced to zero — no exceptions, no matter how good the numbers look. A single fatal flaw ends the conversation.</w:t>
            </w:r>
          </w:p>
        </w:tc>
      </w:tr>
    </w:tbl>
    <w:p>
      <w:pPr>
        <w:spacing w:after="80"/>
      </w:pPr>
    </w:p>
    <w:p>
      <w:r>
        <w:br w:type="page"/>
      </w:r>
    </w:p>
    <w:p>
      <w:pPr>
        <w:pStyle w:val="Heading1"/>
        <w:spacing w:before="320" w:after="140"/>
      </w:pPr>
      <w:r>
        <w:rPr>
          <w:rFonts w:ascii="Calibri" w:hAnsi="Calibri"/>
          <w:b/>
          <w:color w:val="1F3864"/>
          <w:sz w:val="34"/>
        </w:rPr>
        <w:t>7. How a Stock Becomes a ‘Buy’</w:t>
      </w:r>
    </w:p>
    <w:p>
      <w:pPr>
        <w:spacing w:after="120" w:before="0" w:line="276" w:lineRule="auto"/>
      </w:pPr>
      <w:r>
        <w:rPr>
          <w:b w:val="0"/>
        </w:rPr>
        <w:t>Let’s trace the actual decision, because this is where all the pieces meet.</w:t>
      </w:r>
    </w:p>
    <w:p>
      <w:pPr>
        <w:pStyle w:val="Heading2"/>
        <w:spacing w:before="240" w:after="100"/>
      </w:pPr>
      <w:r>
        <w:rPr>
          <w:rFonts w:ascii="Calibri" w:hAnsi="Calibri"/>
          <w:b/>
          <w:color w:val="2E5496"/>
          <w:sz w:val="27"/>
        </w:rPr>
        <w:t>The long-term path</w:t>
      </w:r>
    </w:p>
    <w:p>
      <w:pPr>
        <w:pStyle w:val="ListNumber"/>
        <w:spacing w:after="60" w:line="264" w:lineRule="auto"/>
      </w:pPr>
      <w:r>
        <w:rPr>
          <w:b w:val="0"/>
        </w:rPr>
        <w:t>The seven agents produce a conviction score and a data-confidence score.</w:t>
      </w:r>
    </w:p>
    <w:p>
      <w:pPr>
        <w:pStyle w:val="ListNumber"/>
        <w:spacing w:after="60" w:line="264" w:lineRule="auto"/>
      </w:pPr>
      <w:r>
        <w:rPr>
          <w:b/>
        </w:rPr>
        <w:t>Buy</w:t>
      </w:r>
      <w:r>
        <w:rPr>
          <w:b w:val="0"/>
        </w:rPr>
        <w:t xml:space="preserve"> requires conviction 8+ AND data confidence 7+. </w:t>
      </w:r>
      <w:r>
        <w:rPr>
          <w:b/>
        </w:rPr>
        <w:t>Watchlist</w:t>
      </w:r>
      <w:r>
        <w:rPr>
          <w:b w:val="0"/>
        </w:rPr>
        <w:t xml:space="preserve"> is conviction 6–7. Everything else is </w:t>
      </w:r>
      <w:r>
        <w:rPr>
          <w:b/>
        </w:rPr>
        <w:t>Avoid</w:t>
      </w:r>
      <w:r>
        <w:rPr>
          <w:b w:val="0"/>
        </w:rPr>
        <w:t>.</w:t>
      </w:r>
    </w:p>
    <w:p>
      <w:pPr>
        <w:pStyle w:val="ListNumber"/>
        <w:spacing w:after="60" w:line="264" w:lineRule="auto"/>
      </w:pPr>
      <w:r>
        <w:rPr>
          <w:b w:val="0"/>
        </w:rPr>
        <w:t>Then a series of gates can *demote* a Buy to a Watchlist — each one a lesson learned:</w:t>
      </w:r>
    </w:p>
    <w:p>
      <w:pPr>
        <w:pStyle w:val="ListBullet2"/>
        <w:spacing w:after="60" w:line="264" w:lineRule="auto"/>
        <w:ind w:left="1080"/>
      </w:pPr>
      <w:r>
        <w:rPr>
          <w:b/>
        </w:rPr>
        <w:t>Valuation gate</w:t>
      </w:r>
      <w:r>
        <w:rPr>
          <w:b w:val="0"/>
        </w:rPr>
        <w:t xml:space="preserve"> — if the stock is &gt;10% overvalued, conviction is capped at 7 (dropping it below the Buy line).</w:t>
      </w:r>
    </w:p>
    <w:p>
      <w:pPr>
        <w:pStyle w:val="ListBullet2"/>
        <w:spacing w:after="60" w:line="264" w:lineRule="auto"/>
        <w:ind w:left="1080"/>
      </w:pPr>
      <w:r>
        <w:rPr>
          <w:b/>
        </w:rPr>
        <w:t>Correlation gate</w:t>
      </w:r>
      <w:r>
        <w:rPr>
          <w:b w:val="0"/>
        </w:rPr>
        <w:t xml:space="preserve"> — if buying it would push us past 30% exposure to one sector, it’s demoted. Don’t put all the eggs in one basket.</w:t>
      </w:r>
    </w:p>
    <w:p>
      <w:pPr>
        <w:pStyle w:val="ListBullet2"/>
        <w:spacing w:after="60" w:line="264" w:lineRule="auto"/>
        <w:ind w:left="1080"/>
      </w:pPr>
      <w:r>
        <w:rPr>
          <w:b/>
        </w:rPr>
        <w:t>Macro penalty</w:t>
      </w:r>
      <w:r>
        <w:rPr>
          <w:b w:val="0"/>
        </w:rPr>
        <w:t xml:space="preserve"> — if the broad backdrop (rates, the dollar, credit stress) shows two or more headwinds, conviction is docked.</w:t>
      </w:r>
    </w:p>
    <w:p>
      <w:pPr>
        <w:pStyle w:val="ListBullet2"/>
        <w:spacing w:after="60" w:line="264" w:lineRule="auto"/>
        <w:ind w:left="1080"/>
      </w:pPr>
      <w:r>
        <w:rPr>
          <w:b/>
        </w:rPr>
        <w:t>VIX pause</w:t>
      </w:r>
      <w:r>
        <w:rPr>
          <w:b w:val="0"/>
        </w:rPr>
        <w:t xml:space="preserve"> — during market panics (volatility spikes), new long-term buying is paused entirely.</w:t>
      </w:r>
    </w:p>
    <w:p>
      <w:pPr>
        <w:pStyle w:val="ListNumber"/>
        <w:spacing w:after="60" w:line="264" w:lineRule="auto"/>
      </w:pPr>
      <w:r>
        <w:rPr>
          <w:b w:val="0"/>
        </w:rPr>
        <w:t>Survivors are bought automatically in the paper portfolio, sized by conviction, and a chart is run to time the entry and set the stop.</w:t>
      </w:r>
    </w:p>
    <w:p>
      <w:pPr>
        <w:pStyle w:val="Heading2"/>
        <w:spacing w:before="240" w:after="100"/>
      </w:pPr>
      <w:r>
        <w:rPr>
          <w:rFonts w:ascii="Calibri" w:hAnsi="Calibri"/>
          <w:b/>
          <w:color w:val="2E5496"/>
          <w:sz w:val="27"/>
        </w:rPr>
        <w:t>The swing / growth path</w:t>
      </w:r>
    </w:p>
    <w:p>
      <w:pPr>
        <w:spacing w:after="120" w:before="0" w:line="276" w:lineRule="auto"/>
      </w:pPr>
      <w:r>
        <w:rPr>
          <w:b w:val="0"/>
        </w:rPr>
        <w:t xml:space="preserve">A swing idea must clear the seven-signal screen, then get its chart confirmed as an actionable entry, then pass a strict set of risk gates that are </w:t>
      </w:r>
      <w:r>
        <w:rPr>
          <w:b/>
        </w:rPr>
        <w:t>never loosened</w:t>
      </w:r>
      <w:r>
        <w:rPr>
          <w:b w:val="0"/>
        </w:rPr>
        <w:t>: the stop must be defined, no single trade may risk more than 1.5% of the pool, no entry within the earnings blackout window, sector slots must be available, and we won’t double up on a name the long-term track already holds.</w:t>
      </w:r>
    </w:p>
    <w:tbl>
      <w:tblPr>
        <w:tblW w:type="auto" w:w="0"/>
        <w:jc w:val="center"/>
        <w:tblLook w:firstColumn="1" w:firstRow="1" w:lastColumn="0" w:lastRow="0" w:noHBand="0" w:noVBand="1" w:val="04A0"/>
      </w:tblPr>
      <w:tblGrid>
        <w:gridCol w:w="9360"/>
      </w:tblGrid>
      <w:tr>
        <w:tc>
          <w:tcPr>
            <w:tcW w:type="dxa" w:w="9360"/>
            <w:shd w:val="clear" w:color="auto" w:fill="EEF2F8"/>
            <w:tcMar>
              <w:top w:w="120" w:type="dxa"/>
              <w:bottom w:w="120" w:type="dxa"/>
              <w:start w:w="160" w:type="dxa"/>
              <w:end w:w="160" w:type="dxa"/>
            </w:tcMar>
            <w:tcBorders>
              <w:top w:val="single" w:sz="4" w:color="2E5496"/>
              <w:bottom w:val="single" w:sz="4" w:color="2E5496"/>
              <w:start w:val="single" w:sz="22" w:color="2E5496"/>
              <w:end w:val="single" w:sz="4" w:color="2E5496"/>
            </w:tcBorders>
          </w:tcPr>
          <w:p>
            <w:pPr>
              <w:spacing w:after="40"/>
            </w:pPr>
            <w:r>
              <w:rPr>
                <w:b/>
                <w:color w:val="2E5496"/>
              </w:rPr>
              <w:t>Exploration mode — how the system learns which rules actually help</w:t>
            </w:r>
          </w:p>
          <w:p>
            <w:pPr>
              <w:spacing w:line="276" w:lineRule="auto" w:after="0"/>
            </w:pPr>
            <w:r>
              <w:rPr>
                <w:b w:val="0"/>
              </w:rPr>
              <w:t>The SELECTION gates (how many signals, how much reward-to-risk, how close to the ideal entry) currently run in a loosened ‘exploration’ setting. Weaker setups are still allowed in, but at half size and tagged with which strict rule they broke. As each tagged group reaches ten completed trades, the system checks whether that group actually lost money — and if so, it permanently tightens that specific gate on its own. A one-way ratchet: rules can auto-tighten with evidence, never auto-loosen. The RISK gates above never participate; safety is not up for experiment.</w:t>
            </w:r>
          </w:p>
        </w:tc>
      </w:tr>
    </w:tbl>
    <w:p>
      <w:pPr>
        <w:spacing w:after="80"/>
      </w:pPr>
    </w:p>
    <w:p>
      <w:r>
        <w:br w:type="page"/>
      </w:r>
    </w:p>
    <w:p>
      <w:pPr>
        <w:pStyle w:val="Heading1"/>
        <w:spacing w:before="320" w:after="140"/>
      </w:pPr>
      <w:r>
        <w:rPr>
          <w:rFonts w:ascii="Calibri" w:hAnsi="Calibri"/>
          <w:b/>
          <w:color w:val="1F3864"/>
          <w:sz w:val="34"/>
        </w:rPr>
        <w:t>8. Managing Risk — Stops and Position Sizing</w:t>
      </w:r>
    </w:p>
    <w:p>
      <w:pPr>
        <w:spacing w:after="120" w:before="0" w:line="276" w:lineRule="auto"/>
      </w:pPr>
      <w:r>
        <w:rPr>
          <w:b w:val="0"/>
        </w:rPr>
        <w:t>Protecting capital comes before growing it. Two mechanisms do the heavy lifting.</w:t>
      </w:r>
    </w:p>
    <w:p>
      <w:pPr>
        <w:pStyle w:val="Heading2"/>
        <w:spacing w:before="240" w:after="100"/>
      </w:pPr>
      <w:r>
        <w:rPr>
          <w:rFonts w:ascii="Calibri" w:hAnsi="Calibri"/>
          <w:b/>
          <w:color w:val="2E5496"/>
          <w:sz w:val="27"/>
        </w:rPr>
        <w:t>Where the stop goes</w:t>
      </w:r>
    </w:p>
    <w:p>
      <w:pPr>
        <w:spacing w:after="120" w:before="0" w:line="276" w:lineRule="auto"/>
      </w:pPr>
      <w:r>
        <w:rPr>
          <w:b w:val="0"/>
        </w:rPr>
        <w:t>A ‘stop’ is the price at which we admit we’re wrong and sell. Place it too tight and normal wiggles knock you out of good trades; too loose and losses run deep. Our formula:</w:t>
      </w:r>
    </w:p>
    <w:tbl>
      <w:tblPr>
        <w:tblW w:type="auto" w:w="0"/>
        <w:jc w:val="center"/>
        <w:tblLook w:firstColumn="1" w:firstRow="1" w:lastColumn="0" w:lastRow="0" w:noHBand="0" w:noVBand="1" w:val="04A0"/>
      </w:tblPr>
      <w:tblGrid>
        <w:gridCol w:w="9360"/>
      </w:tblGrid>
      <w:tr>
        <w:tc>
          <w:tcPr>
            <w:tcW w:type="dxa" w:w="9360"/>
            <w:shd w:val="clear" w:color="auto" w:fill="EEF2F8"/>
            <w:tcMar>
              <w:top w:w="120" w:type="dxa"/>
              <w:bottom w:w="120" w:type="dxa"/>
              <w:start w:w="160" w:type="dxa"/>
              <w:end w:w="160" w:type="dxa"/>
            </w:tcMar>
            <w:tcBorders>
              <w:top w:val="single" w:sz="4" w:color="2E5496"/>
              <w:bottom w:val="single" w:sz="4" w:color="2E5496"/>
              <w:start w:val="single" w:sz="22" w:color="2E5496"/>
              <w:end w:val="single" w:sz="4" w:color="2E5496"/>
            </w:tcBorders>
          </w:tcPr>
          <w:p>
            <w:pPr>
              <w:spacing w:after="40"/>
            </w:pPr>
            <w:r>
              <w:rPr>
                <w:b/>
                <w:color w:val="2E5496"/>
              </w:rPr>
              <w:t>The stop formula (swing)</w:t>
            </w:r>
          </w:p>
          <w:p>
            <w:pPr>
              <w:spacing w:line="276" w:lineRule="auto" w:after="0"/>
            </w:pPr>
            <w:r>
              <w:rPr>
                <w:b w:val="0"/>
              </w:rPr>
              <w:t>Stop = the nearest tested support level, minus a half-ATR cushion. We drop it just below a price floor that has actually held before, then add a buffer so a brief ‘stop hunt’ dip doesn’t trigger it. A pure volatility-based stop is used only as a fallback when no real support level exists.</w:t>
            </w:r>
          </w:p>
        </w:tc>
      </w:tr>
    </w:tbl>
    <w:p>
      <w:pPr>
        <w:spacing w:after="80"/>
      </w:pPr>
    </w:p>
    <w:p>
      <w:pPr>
        <w:spacing w:after="120" w:before="0" w:line="276" w:lineRule="auto"/>
      </w:pPr>
      <w:r>
        <w:rPr>
          <w:b w:val="0"/>
        </w:rPr>
        <w:t>This wasn’t a guess. An earlier version used a volatility floor that, we discovered through a 4,000-trade backtest (experiment E11/E12), was tightening stops right into the range where market-makers hunt them. Switching to support-based stops beat the old method on average return, median return, and win rate — in both a bear market and a bull market separately. That is the kind of evidence it takes to change a rule here.</w:t>
      </w:r>
    </w:p>
    <w:p>
      <w:pPr>
        <w:spacing w:after="120" w:before="0" w:line="276" w:lineRule="auto"/>
      </w:pPr>
      <w:r>
        <w:rPr>
          <w:b w:val="0"/>
        </w:rPr>
        <w:t>Held positions are also re-checked weekly: if a stock has climbed and formed a new, higher support level, the stop is raised to lock in gains — but it is never lowered.</w:t>
      </w:r>
    </w:p>
    <w:p>
      <w:pPr>
        <w:pStyle w:val="Heading2"/>
        <w:spacing w:before="240" w:after="100"/>
      </w:pPr>
      <w:r>
        <w:rPr>
          <w:rFonts w:ascii="Calibri" w:hAnsi="Calibri"/>
          <w:b/>
          <w:color w:val="2E5496"/>
          <w:sz w:val="27"/>
        </w:rPr>
        <w:t>How much to buy</w:t>
      </w:r>
    </w:p>
    <w:p>
      <w:pPr>
        <w:spacing w:after="120" w:before="0" w:line="276" w:lineRule="auto"/>
      </w:pPr>
      <w:r>
        <w:rPr>
          <w:b w:val="0"/>
        </w:rPr>
        <w:t>Position size is set so that if the stop is hit, the loss is a small, known fraction of the account. A wider stop automatically means a smaller position, so the dollar risk stays constant regardless of how volatile the stock is. Conviction and setup quality then scale the size up or down from there. This is why we can take more shots without any single loss mattering much.</w:t>
      </w:r>
    </w:p>
    <w:p>
      <w:r>
        <w:br w:type="page"/>
      </w:r>
    </w:p>
    <w:p>
      <w:pPr>
        <w:pStyle w:val="Heading1"/>
        <w:spacing w:before="320" w:after="140"/>
      </w:pPr>
      <w:r>
        <w:rPr>
          <w:rFonts w:ascii="Calibri" w:hAnsi="Calibri"/>
          <w:b/>
          <w:color w:val="1F3864"/>
          <w:sz w:val="34"/>
        </w:rPr>
        <w:t>9. How We Sell</w:t>
      </w:r>
    </w:p>
    <w:p>
      <w:pPr>
        <w:spacing w:after="120" w:before="0" w:line="276" w:lineRule="auto"/>
      </w:pPr>
      <w:r>
        <w:rPr>
          <w:b w:val="0"/>
        </w:rPr>
        <w:t>Buying is optional; selling is where returns are actually made or lost. The system watches every open position daily and can exit for any of these reasons:</w:t>
      </w:r>
    </w:p>
    <w:tbl>
      <w:tblPr>
        <w:tblStyle w:val="TableGrid"/>
        <w:tblW w:type="auto" w:w="0"/>
        <w:jc w:val="center"/>
        <w:tblLook w:firstColumn="1" w:firstRow="1" w:lastColumn="0" w:lastRow="0" w:noHBand="0" w:noVBand="1" w:val="04A0"/>
      </w:tblPr>
      <w:tblGrid>
        <w:gridCol w:w="4680"/>
        <w:gridCol w:w="4680"/>
      </w:tblGrid>
      <w:tr>
        <w:tc>
          <w:tcPr>
            <w:tcW w:type="dxa" w:w="3888"/>
            <w:shd w:val="clear" w:color="auto" w:fill="1F3864"/>
            <w:tcMar>
              <w:top w:w="70" w:type="dxa"/>
              <w:bottom w:w="70" w:type="dxa"/>
              <w:start w:w="110" w:type="dxa"/>
              <w:end w:w="110" w:type="dxa"/>
            </w:tcMar>
          </w:tcPr>
          <w:p>
            <w:r/>
            <w:r>
              <w:rPr>
                <w:b/>
                <w:color w:val="FFFFFF"/>
              </w:rPr>
              <w:t>Exit reason</w:t>
            </w:r>
          </w:p>
        </w:tc>
        <w:tc>
          <w:tcPr>
            <w:tcW w:type="dxa" w:w="5472"/>
            <w:shd w:val="clear" w:color="auto" w:fill="1F3864"/>
            <w:tcMar>
              <w:top w:w="70" w:type="dxa"/>
              <w:bottom w:w="70" w:type="dxa"/>
              <w:start w:w="110" w:type="dxa"/>
              <w:end w:w="110" w:type="dxa"/>
            </w:tcMar>
          </w:tcPr>
          <w:p>
            <w:r/>
            <w:r>
              <w:rPr>
                <w:b/>
                <w:color w:val="FFFFFF"/>
              </w:rPr>
              <w:t>What it means</w:t>
            </w:r>
          </w:p>
        </w:tc>
      </w:tr>
      <w:tr>
        <w:tc>
          <w:tcPr>
            <w:tcW w:type="dxa" w:w="3888"/>
            <w:shd w:val="clear" w:color="auto" w:fill="EEF2F8"/>
            <w:tcMar>
              <w:top w:w="60" w:type="dxa"/>
              <w:bottom w:w="60" w:type="dxa"/>
              <w:start w:w="110" w:type="dxa"/>
              <w:end w:w="110" w:type="dxa"/>
            </w:tcMar>
          </w:tcPr>
          <w:p>
            <w:pPr>
              <w:spacing w:line="252" w:lineRule="auto" w:after="0"/>
            </w:pPr>
            <w:r/>
            <w:r>
              <w:rPr>
                <w:b w:val="0"/>
              </w:rPr>
              <w:t>Stop loss</w:t>
            </w:r>
          </w:p>
        </w:tc>
        <w:tc>
          <w:tcPr>
            <w:tcW w:type="dxa" w:w="5472"/>
            <w:shd w:val="clear" w:color="auto" w:fill="EEF2F8"/>
            <w:tcMar>
              <w:top w:w="60" w:type="dxa"/>
              <w:bottom w:w="60" w:type="dxa"/>
              <w:start w:w="110" w:type="dxa"/>
              <w:end w:w="110" w:type="dxa"/>
            </w:tcMar>
          </w:tcPr>
          <w:p>
            <w:pPr>
              <w:spacing w:line="252" w:lineRule="auto" w:after="0"/>
            </w:pPr>
            <w:r/>
            <w:r>
              <w:rPr>
                <w:b w:val="0"/>
              </w:rPr>
              <w:t>Price hit the protective stop. Exit immediately, no debate.</w:t>
            </w:r>
          </w:p>
        </w:tc>
      </w:tr>
      <w:tr>
        <w:tc>
          <w:tcPr>
            <w:tcW w:type="dxa" w:w="3888"/>
            <w:shd w:val="clear" w:color="auto" w:fill="FFFFFF"/>
            <w:tcMar>
              <w:top w:w="60" w:type="dxa"/>
              <w:bottom w:w="60" w:type="dxa"/>
              <w:start w:w="110" w:type="dxa"/>
              <w:end w:w="110" w:type="dxa"/>
            </w:tcMar>
          </w:tcPr>
          <w:p>
            <w:pPr>
              <w:spacing w:line="252" w:lineRule="auto" w:after="0"/>
            </w:pPr>
            <w:r/>
            <w:r>
              <w:rPr>
                <w:b w:val="0"/>
              </w:rPr>
              <w:t>Momentum stall</w:t>
            </w:r>
          </w:p>
        </w:tc>
        <w:tc>
          <w:tcPr>
            <w:tcW w:type="dxa" w:w="5472"/>
            <w:shd w:val="clear" w:color="auto" w:fill="FFFFFF"/>
            <w:tcMar>
              <w:top w:w="60" w:type="dxa"/>
              <w:bottom w:w="60" w:type="dxa"/>
              <w:start w:w="110" w:type="dxa"/>
              <w:end w:w="110" w:type="dxa"/>
            </w:tcMar>
          </w:tcPr>
          <w:p>
            <w:pPr>
              <w:spacing w:line="252" w:lineRule="auto" w:after="0"/>
            </w:pPr>
            <w:r/>
            <w:r>
              <w:rPr>
                <w:b w:val="0"/>
              </w:rPr>
              <w:t>Volume has dried up and price has gone flat for days — the move is over, recycle the capital.</w:t>
            </w:r>
          </w:p>
        </w:tc>
      </w:tr>
      <w:tr>
        <w:tc>
          <w:tcPr>
            <w:tcW w:type="dxa" w:w="3888"/>
            <w:shd w:val="clear" w:color="auto" w:fill="EEF2F8"/>
            <w:tcMar>
              <w:top w:w="60" w:type="dxa"/>
              <w:bottom w:w="60" w:type="dxa"/>
              <w:start w:w="110" w:type="dxa"/>
              <w:end w:w="110" w:type="dxa"/>
            </w:tcMar>
          </w:tcPr>
          <w:p>
            <w:pPr>
              <w:spacing w:line="252" w:lineRule="auto" w:after="0"/>
            </w:pPr>
            <w:r/>
            <w:r>
              <w:rPr>
                <w:b w:val="0"/>
              </w:rPr>
              <w:t>Thesis break</w:t>
            </w:r>
          </w:p>
        </w:tc>
        <w:tc>
          <w:tcPr>
            <w:tcW w:type="dxa" w:w="5472"/>
            <w:shd w:val="clear" w:color="auto" w:fill="EEF2F8"/>
            <w:tcMar>
              <w:top w:w="60" w:type="dxa"/>
              <w:bottom w:w="60" w:type="dxa"/>
              <w:start w:w="110" w:type="dxa"/>
              <w:end w:w="110" w:type="dxa"/>
            </w:tcMar>
          </w:tcPr>
          <w:p>
            <w:pPr>
              <w:spacing w:line="252" w:lineRule="auto" w:after="0"/>
            </w:pPr>
            <w:r/>
            <w:r>
              <w:rPr>
                <w:b w:val="0"/>
              </w:rPr>
              <w:t>The structural reason we bought is gone (e.g., the stock fell into a downtrend or broke its base).</w:t>
            </w:r>
          </w:p>
        </w:tc>
      </w:tr>
      <w:tr>
        <w:tc>
          <w:tcPr>
            <w:tcW w:type="dxa" w:w="3888"/>
            <w:shd w:val="clear" w:color="auto" w:fill="FFFFFF"/>
            <w:tcMar>
              <w:top w:w="60" w:type="dxa"/>
              <w:bottom w:w="60" w:type="dxa"/>
              <w:start w:w="110" w:type="dxa"/>
              <w:end w:w="110" w:type="dxa"/>
            </w:tcMar>
          </w:tcPr>
          <w:p>
            <w:pPr>
              <w:spacing w:line="252" w:lineRule="auto" w:after="0"/>
            </w:pPr>
            <w:r/>
            <w:r>
              <w:rPr>
                <w:b w:val="0"/>
              </w:rPr>
              <w:t>Trailing stop</w:t>
            </w:r>
          </w:p>
        </w:tc>
        <w:tc>
          <w:tcPr>
            <w:tcW w:type="dxa" w:w="5472"/>
            <w:shd w:val="clear" w:color="auto" w:fill="FFFFFF"/>
            <w:tcMar>
              <w:top w:w="60" w:type="dxa"/>
              <w:bottom w:w="60" w:type="dxa"/>
              <w:start w:w="110" w:type="dxa"/>
              <w:end w:w="110" w:type="dxa"/>
            </w:tcMar>
          </w:tcPr>
          <w:p>
            <w:pPr>
              <w:spacing w:line="252" w:lineRule="auto" w:after="0"/>
            </w:pPr>
            <w:r/>
            <w:r>
              <w:rPr>
                <w:b w:val="0"/>
              </w:rPr>
              <w:t>On big winners, the stop rides up under the price to protect profits while letting the run continue.</w:t>
            </w:r>
          </w:p>
        </w:tc>
      </w:tr>
      <w:tr>
        <w:tc>
          <w:tcPr>
            <w:tcW w:type="dxa" w:w="3888"/>
            <w:shd w:val="clear" w:color="auto" w:fill="EEF2F8"/>
            <w:tcMar>
              <w:top w:w="60" w:type="dxa"/>
              <w:bottom w:w="60" w:type="dxa"/>
              <w:start w:w="110" w:type="dxa"/>
              <w:end w:w="110" w:type="dxa"/>
            </w:tcMar>
          </w:tcPr>
          <w:p>
            <w:pPr>
              <w:spacing w:line="252" w:lineRule="auto" w:after="0"/>
            </w:pPr>
            <w:r/>
            <w:r>
              <w:rPr>
                <w:b w:val="0"/>
              </w:rPr>
              <w:t>Earnings proximity</w:t>
            </w:r>
          </w:p>
        </w:tc>
        <w:tc>
          <w:tcPr>
            <w:tcW w:type="dxa" w:w="5472"/>
            <w:shd w:val="clear" w:color="auto" w:fill="EEF2F8"/>
            <w:tcMar>
              <w:top w:w="60" w:type="dxa"/>
              <w:bottom w:w="60" w:type="dxa"/>
              <w:start w:w="110" w:type="dxa"/>
              <w:end w:w="110" w:type="dxa"/>
            </w:tcMar>
          </w:tcPr>
          <w:p>
            <w:pPr>
              <w:spacing w:line="252" w:lineRule="auto" w:after="0"/>
            </w:pPr>
            <w:r/>
            <w:r>
              <w:rPr>
                <w:b w:val="0"/>
              </w:rPr>
              <w:t>An earnings report is days away — flagged for a conscious decision: exit, trim, or knowingly hold through.</w:t>
            </w:r>
          </w:p>
        </w:tc>
      </w:tr>
      <w:tr>
        <w:tc>
          <w:tcPr>
            <w:tcW w:type="dxa" w:w="3888"/>
            <w:shd w:val="clear" w:color="auto" w:fill="FFFFFF"/>
            <w:tcMar>
              <w:top w:w="60" w:type="dxa"/>
              <w:bottom w:w="60" w:type="dxa"/>
              <w:start w:w="110" w:type="dxa"/>
              <w:end w:w="110" w:type="dxa"/>
            </w:tcMar>
          </w:tcPr>
          <w:p>
            <w:pPr>
              <w:spacing w:line="252" w:lineRule="auto" w:after="0"/>
            </w:pPr>
            <w:r/>
            <w:r>
              <w:rPr>
                <w:b w:val="0"/>
              </w:rPr>
              <w:t>P/E-expansion topping</w:t>
            </w:r>
          </w:p>
        </w:tc>
        <w:tc>
          <w:tcPr>
            <w:tcW w:type="dxa" w:w="5472"/>
            <w:shd w:val="clear" w:color="auto" w:fill="FFFFFF"/>
            <w:tcMar>
              <w:top w:w="60" w:type="dxa"/>
              <w:bottom w:w="60" w:type="dxa"/>
              <w:start w:w="110" w:type="dxa"/>
              <w:end w:w="110" w:type="dxa"/>
            </w:tcMar>
          </w:tcPr>
          <w:p>
            <w:pPr>
              <w:spacing w:line="252" w:lineRule="auto" w:after="0"/>
            </w:pPr>
            <w:r/>
            <w:r>
              <w:rPr>
                <w:b w:val="0"/>
              </w:rPr>
              <w:t>The newest exit (experiment E16) — see below.</w:t>
            </w:r>
          </w:p>
        </w:tc>
      </w:tr>
    </w:tbl>
    <w:p>
      <w:pPr>
        <w:spacing w:after="80"/>
      </w:pPr>
    </w:p>
    <w:p>
      <w:pPr>
        <w:pStyle w:val="Heading2"/>
        <w:spacing w:before="240" w:after="100"/>
      </w:pPr>
      <w:r>
        <w:rPr>
          <w:rFonts w:ascii="Calibri" w:hAnsi="Calibri"/>
          <w:b/>
          <w:color w:val="2E5496"/>
          <w:sz w:val="27"/>
        </w:rPr>
        <w:t>The newest exit: catching a top before it forms</w:t>
      </w:r>
    </w:p>
    <w:p>
      <w:pPr>
        <w:spacing w:after="120" w:before="0" w:line="276" w:lineRule="auto"/>
      </w:pPr>
      <w:r>
        <w:rPr>
          <w:b w:val="0"/>
        </w:rPr>
        <w:t xml:space="preserve">This one comes straight from the Minervini book I’ve been reading, and it’s worth explaining because it shows how an idea travels from a book to a tested feature. Minervini observed that a huge winner often *tops out* when its price races far ahead of its earnings — specifically, when its P/E ratio balloons to two-and-a-half or three times what it was at the breakout, </w:t>
      </w:r>
      <w:r>
        <w:rPr>
          <w:b/>
        </w:rPr>
        <w:t>while</w:t>
      </w:r>
      <w:r>
        <w:rPr>
          <w:b w:val="0"/>
        </w:rPr>
        <w:t xml:space="preserve"> earnings growth is slowing down.</w:t>
      </w:r>
    </w:p>
    <w:p>
      <w:pPr>
        <w:spacing w:after="120" w:before="0" w:line="276" w:lineRule="auto"/>
      </w:pPr>
      <w:r>
        <w:rPr>
          <w:b w:val="0"/>
        </w:rPr>
        <w:t>So now, when we buy a swing stock, we record its P/E at that moment. If it later swells past 2.5× that starting level AND the company’s growth is decelerating, the system raises a ‘topping’ alert to go hunt for sell signals. Critically, if the P/E expands but earnings are *keeping pace* (a healthy, sustainable run — Minervini’s Apollo Group and CKE Restaurants examples), it stays silent and lets the winner run. It is a precision alert, not a hair-trigger.</w:t>
      </w:r>
    </w:p>
    <w:tbl>
      <w:tblPr>
        <w:tblW w:type="auto" w:w="0"/>
        <w:jc w:val="center"/>
        <w:tblLook w:firstColumn="1" w:firstRow="1" w:lastColumn="0" w:lastRow="0" w:noHBand="0" w:noVBand="1" w:val="04A0"/>
      </w:tblPr>
      <w:tblGrid>
        <w:gridCol w:w="9360"/>
      </w:tblGrid>
      <w:tr>
        <w:tc>
          <w:tcPr>
            <w:tcW w:type="dxa" w:w="9360"/>
            <w:shd w:val="clear" w:color="auto" w:fill="FBE9DD"/>
            <w:tcMar>
              <w:top w:w="120" w:type="dxa"/>
              <w:bottom w:w="120" w:type="dxa"/>
              <w:start w:w="160" w:type="dxa"/>
              <w:end w:w="160" w:type="dxa"/>
            </w:tcMar>
            <w:tcBorders>
              <w:top w:val="single" w:sz="4" w:color="C55A11"/>
              <w:bottom w:val="single" w:sz="4" w:color="C55A11"/>
              <w:start w:val="single" w:sz="22" w:color="C55A11"/>
              <w:end w:val="single" w:sz="4" w:color="C55A11"/>
            </w:tcBorders>
          </w:tcPr>
          <w:p>
            <w:pPr>
              <w:spacing w:after="40"/>
            </w:pPr>
            <w:r>
              <w:rPr>
                <w:b/>
                <w:color w:val="C55A11"/>
              </w:rPr>
              <w:t>Why this is an EXIT rule and not a BUY rule — an important lesson</w:t>
            </w:r>
          </w:p>
          <w:p>
            <w:pPr>
              <w:spacing w:line="276" w:lineRule="auto" w:after="0"/>
            </w:pPr>
            <w:r>
              <w:rPr>
                <w:b w:val="0"/>
              </w:rPr>
              <w:t>Minervini’s book is full of stocks that broke out at ‘absurd’ valuations (Yahoo! at 938× earnings) and soared. It’s tempting to turn that into a rule: ‘buy expensive stocks!’ That would be a serious mistake called survivorship bias — for every Yahoo! that soared from a nosebleed valuation, thousands of others quietly went to zero and were forgotten, so we never see them in the success stories. High valuation is therefore unsafe as a REASON TO BUY. But as a signal to WATCH FOR A TOP on a stock we already own for other reasons, there is no such trap — we’re managing a position, not fishing a graveyard for entries. That distinction is why E16 shipped and its cousin E17 did not.</w:t>
            </w:r>
          </w:p>
        </w:tc>
      </w:tr>
    </w:tbl>
    <w:p>
      <w:pPr>
        <w:spacing w:after="80"/>
      </w:pPr>
    </w:p>
    <w:p>
      <w:r>
        <w:br w:type="page"/>
      </w:r>
    </w:p>
    <w:p>
      <w:pPr>
        <w:pStyle w:val="Heading1"/>
        <w:spacing w:before="320" w:after="140"/>
      </w:pPr>
      <w:r>
        <w:rPr>
          <w:rFonts w:ascii="Calibri" w:hAnsi="Calibri"/>
          <w:b/>
          <w:color w:val="1F3864"/>
          <w:sz w:val="34"/>
        </w:rPr>
        <w:t>10. The Learning Loop — How the System Improves Itself</w:t>
      </w:r>
    </w:p>
    <w:p>
      <w:pPr>
        <w:spacing w:after="120" w:before="0" w:line="276" w:lineRule="auto"/>
      </w:pPr>
      <w:r>
        <w:rPr>
          <w:b w:val="0"/>
        </w:rPr>
        <w:t>Most trading systems are frozen: someone sets the rules once and hopes. Ours is designed to learn from its own results.</w:t>
      </w:r>
    </w:p>
    <w:p>
      <w:pPr>
        <w:pStyle w:val="Heading2"/>
        <w:spacing w:before="240" w:after="100"/>
      </w:pPr>
      <w:r>
        <w:rPr>
          <w:rFonts w:ascii="Calibri" w:hAnsi="Calibri"/>
          <w:b/>
          <w:color w:val="2E5496"/>
          <w:sz w:val="27"/>
        </w:rPr>
        <w:t>Every trade is scored</w:t>
      </w:r>
    </w:p>
    <w:p>
      <w:pPr>
        <w:spacing w:after="120" w:before="0" w:line="276" w:lineRule="auto"/>
      </w:pPr>
      <w:r>
        <w:rPr>
          <w:b w:val="0"/>
        </w:rPr>
        <w:t>When any position closes, the outcome is recorded — win, loss, or scratch — along with everything we knew when we entered. Over time this builds a database of what actually worked.</w:t>
      </w:r>
    </w:p>
    <w:p>
      <w:pPr>
        <w:pStyle w:val="Heading2"/>
        <w:spacing w:before="240" w:after="100"/>
      </w:pPr>
      <w:r>
        <w:rPr>
          <w:rFonts w:ascii="Calibri" w:hAnsi="Calibri"/>
          <w:b/>
          <w:color w:val="2E5496"/>
          <w:sz w:val="27"/>
        </w:rPr>
        <w:t>The rules adapt to the evidence</w:t>
      </w:r>
    </w:p>
    <w:p>
      <w:pPr>
        <w:pStyle w:val="ListBullet"/>
        <w:spacing w:after="60" w:line="264" w:lineRule="auto"/>
      </w:pPr>
      <w:r>
        <w:rPr>
          <w:b/>
        </w:rPr>
        <w:t>Adaptive signal weights</w:t>
      </w:r>
      <w:r>
        <w:rPr>
          <w:b w:val="0"/>
        </w:rPr>
        <w:t xml:space="preserve"> — the Hunter’s emphasis on fundamentals vs. technicals vs. valuation shifts based on which signals have actually predicted winners lately.</w:t>
      </w:r>
    </w:p>
    <w:p>
      <w:pPr>
        <w:pStyle w:val="ListBullet"/>
        <w:spacing w:after="60" w:line="264" w:lineRule="auto"/>
      </w:pPr>
      <w:r>
        <w:rPr>
          <w:b/>
        </w:rPr>
        <w:t>Self-tightening gates</w:t>
      </w:r>
      <w:r>
        <w:rPr>
          <w:b w:val="0"/>
        </w:rPr>
        <w:t xml:space="preserve"> — loosened swing rules automatically snap back to strict once a group of trades proves the loose version loses money.</w:t>
      </w:r>
    </w:p>
    <w:p>
      <w:pPr>
        <w:pStyle w:val="ListBullet"/>
        <w:spacing w:after="60" w:line="264" w:lineRule="auto"/>
      </w:pPr>
      <w:r>
        <w:rPr>
          <w:b/>
        </w:rPr>
        <w:t>Mistake patterns</w:t>
      </w:r>
      <w:r>
        <w:rPr>
          <w:b w:val="0"/>
        </w:rPr>
        <w:t xml:space="preserve"> — if the system loses money on a recognizable type of setup three or more times, future look-alikes get penalized. The disciplined version of ‘last time I bought something like this, I got burned.’</w:t>
      </w:r>
    </w:p>
    <w:p>
      <w:pPr>
        <w:pStyle w:val="ListBullet"/>
        <w:spacing w:after="60" w:line="264" w:lineRule="auto"/>
      </w:pPr>
      <w:r>
        <w:rPr>
          <w:b/>
        </w:rPr>
        <w:t>Shadow tracking</w:t>
      </w:r>
      <w:r>
        <w:rPr>
          <w:b w:val="0"/>
        </w:rPr>
        <w:t xml:space="preserve"> — even the trades we DON’T take are followed. When a gate blocks a buy, the system quietly tracks how that stock would have done, so we can tell whether the gate is protecting us or costing us.</w:t>
      </w:r>
    </w:p>
    <w:p>
      <w:pPr>
        <w:pStyle w:val="Heading2"/>
        <w:spacing w:before="240" w:after="100"/>
      </w:pPr>
      <w:r>
        <w:rPr>
          <w:rFonts w:ascii="Calibri" w:hAnsi="Calibri"/>
          <w:b/>
          <w:color w:val="2E5496"/>
          <w:sz w:val="27"/>
        </w:rPr>
        <w:t>The experiment log</w:t>
      </w:r>
    </w:p>
    <w:p>
      <w:pPr>
        <w:spacing w:after="120" w:before="0" w:line="276" w:lineRule="auto"/>
      </w:pPr>
      <w:r>
        <w:rPr>
          <w:b w:val="0"/>
        </w:rPr>
        <w:t>Tying it all together is the experiment log — 17 entries and counting, each a hypothesis with a pre-declared success test and an honest verdict. Every Sunday, the open experiments are re-scored against the week’s new data. This is the platform’s memory and its conscience. The next section walks through what it contains.</w:t>
      </w:r>
    </w:p>
    <w:p>
      <w:r>
        <w:br w:type="page"/>
      </w:r>
    </w:p>
    <w:p>
      <w:pPr>
        <w:pStyle w:val="Heading1"/>
        <w:spacing w:before="320" w:after="140"/>
      </w:pPr>
      <w:r>
        <w:rPr>
          <w:rFonts w:ascii="Calibri" w:hAnsi="Calibri"/>
          <w:b/>
          <w:color w:val="1F3864"/>
          <w:sz w:val="34"/>
        </w:rPr>
        <w:t>11. What We’ve Tested and Learned</w:t>
      </w:r>
    </w:p>
    <w:p>
      <w:pPr>
        <w:spacing w:after="120" w:before="0" w:line="276" w:lineRule="auto"/>
      </w:pPr>
      <w:r>
        <w:rPr>
          <w:b w:val="0"/>
        </w:rPr>
        <w:t xml:space="preserve">This is the heart of the platform’s credibility, so I’ll spend real time here. Below are the experiments that have shaped the system, grouped by theme. Notice how many </w:t>
      </w:r>
      <w:r>
        <w:rPr>
          <w:b/>
        </w:rPr>
        <w:t>failed</w:t>
      </w:r>
      <w:r>
        <w:rPr>
          <w:b w:val="0"/>
        </w:rPr>
        <w:t xml:space="preserve"> — that’s the point. A system that never rejects its own ideas isn’t testing them.</w:t>
      </w:r>
    </w:p>
    <w:p>
      <w:pPr>
        <w:pStyle w:val="Heading2"/>
        <w:spacing w:before="240" w:after="100"/>
      </w:pPr>
      <w:r>
        <w:rPr>
          <w:rFonts w:ascii="Calibri" w:hAnsi="Calibri"/>
          <w:b/>
          <w:color w:val="2E5496"/>
          <w:sz w:val="27"/>
        </w:rPr>
        <w:t>Verdicts, defined</w:t>
      </w:r>
    </w:p>
    <w:tbl>
      <w:tblPr>
        <w:tblStyle w:val="TableGrid"/>
        <w:tblW w:type="auto" w:w="0"/>
        <w:jc w:val="center"/>
        <w:tblLook w:firstColumn="1" w:firstRow="1" w:lastColumn="0" w:lastRow="0" w:noHBand="0" w:noVBand="1" w:val="04A0"/>
      </w:tblPr>
      <w:tblGrid>
        <w:gridCol w:w="4680"/>
        <w:gridCol w:w="4680"/>
      </w:tblGrid>
      <w:tr>
        <w:tc>
          <w:tcPr>
            <w:tcW w:type="dxa" w:w="3744"/>
            <w:shd w:val="clear" w:color="auto" w:fill="1F3864"/>
            <w:tcMar>
              <w:top w:w="70" w:type="dxa"/>
              <w:bottom w:w="70" w:type="dxa"/>
              <w:start w:w="110" w:type="dxa"/>
              <w:end w:w="110" w:type="dxa"/>
            </w:tcMar>
          </w:tcPr>
          <w:p>
            <w:r/>
            <w:r>
              <w:rPr>
                <w:b/>
                <w:color w:val="FFFFFF"/>
              </w:rPr>
              <w:t>Verdict</w:t>
            </w:r>
          </w:p>
        </w:tc>
        <w:tc>
          <w:tcPr>
            <w:tcW w:type="dxa" w:w="5616"/>
            <w:shd w:val="clear" w:color="auto" w:fill="1F3864"/>
            <w:tcMar>
              <w:top w:w="70" w:type="dxa"/>
              <w:bottom w:w="70" w:type="dxa"/>
              <w:start w:w="110" w:type="dxa"/>
              <w:end w:w="110" w:type="dxa"/>
            </w:tcMar>
          </w:tcPr>
          <w:p>
            <w:r/>
            <w:r>
              <w:rPr>
                <w:b/>
                <w:color w:val="FFFFFF"/>
              </w:rPr>
              <w:t>Meaning</w:t>
            </w:r>
          </w:p>
        </w:tc>
      </w:tr>
      <w:tr>
        <w:tc>
          <w:tcPr>
            <w:tcW w:type="dxa" w:w="3744"/>
            <w:shd w:val="clear" w:color="auto" w:fill="EEF2F8"/>
            <w:tcMar>
              <w:top w:w="60" w:type="dxa"/>
              <w:bottom w:w="60" w:type="dxa"/>
              <w:start w:w="110" w:type="dxa"/>
              <w:end w:w="110" w:type="dxa"/>
            </w:tcMar>
          </w:tcPr>
          <w:p>
            <w:pPr>
              <w:spacing w:line="252" w:lineRule="auto" w:after="0"/>
            </w:pPr>
            <w:r/>
            <w:r>
              <w:rPr>
                <w:b w:val="0"/>
              </w:rPr>
              <w:t>WORKED</w:t>
            </w:r>
          </w:p>
        </w:tc>
        <w:tc>
          <w:tcPr>
            <w:tcW w:type="dxa" w:w="5616"/>
            <w:shd w:val="clear" w:color="auto" w:fill="EEF2F8"/>
            <w:tcMar>
              <w:top w:w="60" w:type="dxa"/>
              <w:bottom w:w="60" w:type="dxa"/>
              <w:start w:w="110" w:type="dxa"/>
              <w:end w:w="110" w:type="dxa"/>
            </w:tcMar>
          </w:tcPr>
          <w:p>
            <w:pPr>
              <w:spacing w:line="252" w:lineRule="auto" w:after="0"/>
            </w:pPr>
            <w:r/>
            <w:r>
              <w:rPr>
                <w:b w:val="0"/>
              </w:rPr>
              <w:t>Kept, with evidence attached.</w:t>
            </w:r>
          </w:p>
        </w:tc>
      </w:tr>
      <w:tr>
        <w:tc>
          <w:tcPr>
            <w:tcW w:type="dxa" w:w="3744"/>
            <w:shd w:val="clear" w:color="auto" w:fill="FFFFFF"/>
            <w:tcMar>
              <w:top w:w="60" w:type="dxa"/>
              <w:bottom w:w="60" w:type="dxa"/>
              <w:start w:w="110" w:type="dxa"/>
              <w:end w:w="110" w:type="dxa"/>
            </w:tcMar>
          </w:tcPr>
          <w:p>
            <w:pPr>
              <w:spacing w:line="252" w:lineRule="auto" w:after="0"/>
            </w:pPr>
            <w:r/>
            <w:r>
              <w:rPr>
                <w:b w:val="0"/>
              </w:rPr>
              <w:t>FAILED</w:t>
            </w:r>
          </w:p>
        </w:tc>
        <w:tc>
          <w:tcPr>
            <w:tcW w:type="dxa" w:w="5616"/>
            <w:shd w:val="clear" w:color="auto" w:fill="FFFFFF"/>
            <w:tcMar>
              <w:top w:w="60" w:type="dxa"/>
              <w:bottom w:w="60" w:type="dxa"/>
              <w:start w:w="110" w:type="dxa"/>
              <w:end w:w="110" w:type="dxa"/>
            </w:tcMar>
          </w:tcPr>
          <w:p>
            <w:pPr>
              <w:spacing w:line="252" w:lineRule="auto" w:after="0"/>
            </w:pPr>
            <w:r/>
            <w:r>
              <w:rPr>
                <w:b w:val="0"/>
              </w:rPr>
              <w:t>Rejected or reverted, with evidence.</w:t>
            </w:r>
          </w:p>
        </w:tc>
      </w:tr>
      <w:tr>
        <w:tc>
          <w:tcPr>
            <w:tcW w:type="dxa" w:w="3744"/>
            <w:shd w:val="clear" w:color="auto" w:fill="EEF2F8"/>
            <w:tcMar>
              <w:top w:w="60" w:type="dxa"/>
              <w:bottom w:w="60" w:type="dxa"/>
              <w:start w:w="110" w:type="dxa"/>
              <w:end w:w="110" w:type="dxa"/>
            </w:tcMar>
          </w:tcPr>
          <w:p>
            <w:pPr>
              <w:spacing w:line="252" w:lineRule="auto" w:after="0"/>
            </w:pPr>
            <w:r/>
            <w:r>
              <w:rPr>
                <w:b w:val="0"/>
              </w:rPr>
              <w:t>SELF-TIGHTENED</w:t>
            </w:r>
          </w:p>
        </w:tc>
        <w:tc>
          <w:tcPr>
            <w:tcW w:type="dxa" w:w="5616"/>
            <w:shd w:val="clear" w:color="auto" w:fill="EEF2F8"/>
            <w:tcMar>
              <w:top w:w="60" w:type="dxa"/>
              <w:bottom w:w="60" w:type="dxa"/>
              <w:start w:w="110" w:type="dxa"/>
              <w:end w:w="110" w:type="dxa"/>
            </w:tcMar>
          </w:tcPr>
          <w:p>
            <w:pPr>
              <w:spacing w:line="252" w:lineRule="auto" w:after="0"/>
            </w:pPr>
            <w:r/>
            <w:r>
              <w:rPr>
                <w:b w:val="0"/>
              </w:rPr>
              <w:t>The system reversed a loosened rule on its own after the data came in.</w:t>
            </w:r>
          </w:p>
        </w:tc>
      </w:tr>
      <w:tr>
        <w:tc>
          <w:tcPr>
            <w:tcW w:type="dxa" w:w="3744"/>
            <w:shd w:val="clear" w:color="auto" w:fill="FFFFFF"/>
            <w:tcMar>
              <w:top w:w="60" w:type="dxa"/>
              <w:bottom w:w="60" w:type="dxa"/>
              <w:start w:w="110" w:type="dxa"/>
              <w:end w:w="110" w:type="dxa"/>
            </w:tcMar>
          </w:tcPr>
          <w:p>
            <w:pPr>
              <w:spacing w:line="252" w:lineRule="auto" w:after="0"/>
            </w:pPr>
            <w:r/>
            <w:r>
              <w:rPr>
                <w:b w:val="0"/>
              </w:rPr>
              <w:t>OBSERVING</w:t>
            </w:r>
          </w:p>
        </w:tc>
        <w:tc>
          <w:tcPr>
            <w:tcW w:type="dxa" w:w="5616"/>
            <w:shd w:val="clear" w:color="auto" w:fill="FFFFFF"/>
            <w:tcMar>
              <w:top w:w="60" w:type="dxa"/>
              <w:bottom w:w="60" w:type="dxa"/>
              <w:start w:w="110" w:type="dxa"/>
              <w:end w:w="110" w:type="dxa"/>
            </w:tcMar>
          </w:tcPr>
          <w:p>
            <w:pPr>
              <w:spacing w:line="252" w:lineRule="auto" w:after="0"/>
            </w:pPr>
            <w:r/>
            <w:r>
              <w:rPr>
                <w:b w:val="0"/>
              </w:rPr>
              <w:t>Live now, still collecting data before a verdict.</w:t>
            </w:r>
          </w:p>
        </w:tc>
      </w:tr>
    </w:tbl>
    <w:p>
      <w:pPr>
        <w:spacing w:after="80"/>
      </w:pPr>
    </w:p>
    <w:p>
      <w:pPr>
        <w:pStyle w:val="Heading3"/>
        <w:spacing w:before="180" w:after="80"/>
      </w:pPr>
      <w:r>
        <w:rPr>
          <w:rFonts w:ascii="Calibri" w:hAnsi="Calibri"/>
          <w:b/>
          <w:color w:val="C55A11"/>
          <w:sz w:val="23"/>
        </w:rPr>
        <w:t>Theme 1 — Stops and exits (protecting capital)</w:t>
      </w:r>
    </w:p>
    <w:p>
      <w:pPr>
        <w:pStyle w:val="ListBullet"/>
        <w:spacing w:after="60" w:line="264" w:lineRule="auto"/>
      </w:pPr>
      <w:r>
        <w:rPr>
          <w:b/>
        </w:rPr>
        <w:t>E11 / E12 — Support-based stops beat volatility stops. (WORKED, shipped.)</w:t>
      </w:r>
      <w:r>
        <w:rPr>
          <w:b w:val="0"/>
        </w:rPr>
        <w:t xml:space="preserve"> A 4,000-trade backtest across 2022–2026 showed the old volatility-floor stop was tightening exits into ‘stop-hunt’ range. The support-based version won on average return, median, and win rate — in both the bear-market years and the bull-market years separately. We changed the rule only because it passed that split test.</w:t>
      </w:r>
    </w:p>
    <w:p>
      <w:pPr>
        <w:pStyle w:val="ListBullet"/>
        <w:spacing w:after="60" w:line="264" w:lineRule="auto"/>
      </w:pPr>
      <w:r>
        <w:rPr>
          <w:b/>
        </w:rPr>
        <w:t>E16 — P/E-expansion topping exit. (OBSERVING, just shipped.)</w:t>
      </w:r>
      <w:r>
        <w:rPr>
          <w:b w:val="0"/>
        </w:rPr>
        <w:t xml:space="preserve"> The Minervini-inspired sell alert from Section 9. Fires only when valuation balloons AND growth slows, so healthy runs aren’t cut short.</w:t>
      </w:r>
    </w:p>
    <w:p>
      <w:pPr>
        <w:pStyle w:val="Heading3"/>
        <w:spacing w:before="180" w:after="80"/>
      </w:pPr>
      <w:r>
        <w:rPr>
          <w:rFonts w:ascii="Calibri" w:hAnsi="Calibri"/>
          <w:b/>
          <w:color w:val="C55A11"/>
          <w:sz w:val="23"/>
        </w:rPr>
        <w:t>Theme 2 — The P/E and valuation debate</w:t>
      </w:r>
    </w:p>
    <w:p>
      <w:pPr>
        <w:pStyle w:val="ListBullet"/>
        <w:spacing w:after="60" w:line="264" w:lineRule="auto"/>
      </w:pPr>
      <w:r>
        <w:rPr>
          <w:b/>
        </w:rPr>
        <w:t>E17 — Earnings-growth ‘velocity’ as a buy factor. (FAILED, not shipped.)</w:t>
      </w:r>
      <w:r>
        <w:rPr>
          <w:b w:val="0"/>
        </w:rPr>
        <w:t xml:space="preserve"> A fresh, instructive one. Minervini stresses that *earnings* growth is the real engine, so we tested whether ranking growth stocks by their earnings *acceleration* would pick better winners. We built a proper backtest: 61 growth stocks, 40 quarterly checkpoints from 2016 to 2025, using only earnings data that was actually public at each point in time (no cheating with hindsight). The result: the acceleration factor </w:t>
      </w:r>
      <w:r>
        <w:rPr>
          <w:b/>
        </w:rPr>
        <w:t>lost to a simple equal-weighting of the whole list</w:t>
      </w:r>
      <w:r>
        <w:rPr>
          <w:b w:val="0"/>
        </w:rPr>
        <w:t xml:space="preserve"> in both market eras, and beat it in only 4 of 10 years. It looked good on one cherry-picked measure, but that was a handful of outliers, not a real edge. So we threw it out and wired nothing into the live system. </w:t>
      </w:r>
      <w:r>
        <w:rPr>
          <w:b/>
        </w:rPr>
        <w:t>This is a success story, not a failure</w:t>
      </w:r>
      <w:r>
        <w:rPr>
          <w:b w:val="0"/>
        </w:rPr>
        <w:t xml:space="preserve"> — testing first meant a plausible-but-empty idea cost us exactly zero.</w:t>
      </w:r>
    </w:p>
    <w:p>
      <w:pPr>
        <w:pStyle w:val="ListBullet"/>
        <w:spacing w:after="60" w:line="264" w:lineRule="auto"/>
      </w:pPr>
      <w:r>
        <w:rPr>
          <w:b/>
        </w:rPr>
        <w:t>E8 — Shadow-tracking the valuation gate. (OBSERVING.)</w:t>
      </w:r>
      <w:r>
        <w:rPr>
          <w:b w:val="0"/>
        </w:rPr>
        <w:t xml:space="preserve"> We suspect the Graham valuation formula may unfairly punish great growth companies (it wanted to reject AMD despite a 9+ conviction). Rather than guess, we’re tracking how the blocked stocks actually perform. If the blocked names beat the ones we bought, the gate is costing money and we’ll recalibrate it — with evidence.</w:t>
      </w:r>
    </w:p>
    <w:p>
      <w:pPr>
        <w:pStyle w:val="Heading3"/>
        <w:spacing w:before="180" w:after="80"/>
      </w:pPr>
      <w:r>
        <w:rPr>
          <w:rFonts w:ascii="Calibri" w:hAnsi="Calibri"/>
          <w:b/>
          <w:color w:val="C55A11"/>
          <w:sz w:val="23"/>
        </w:rPr>
        <w:t>Theme 3 — Where to fish (the sector funnel)</w:t>
      </w:r>
    </w:p>
    <w:p>
      <w:pPr>
        <w:pStyle w:val="ListBullet"/>
        <w:spacing w:after="60" w:line="264" w:lineRule="auto"/>
      </w:pPr>
      <w:r>
        <w:rPr>
          <w:b/>
        </w:rPr>
        <w:t>E9 — Does sector-picking add value? (OBSERVING, partly humbling.)</w:t>
      </w:r>
      <w:r>
        <w:rPr>
          <w:b w:val="0"/>
        </w:rPr>
        <w:t xml:space="preserve"> A five-year backtest found our sector funnel provides focus and cost-control but </w:t>
      </w:r>
      <w:r>
        <w:rPr>
          <w:b/>
        </w:rPr>
        <w:t>no real return edge</w:t>
      </w:r>
      <w:r>
        <w:rPr>
          <w:b w:val="0"/>
        </w:rPr>
        <w:t xml:space="preserve"> — the best sector was in our top-3 only about a third of the time. We widened from top-3 to top-5 sectors as a result, and we’re running a live ‘race’ between the current formula and challengers before changing the recipe. A tempting challenger that won a 5-year test was then exposed by a 27-year test as a fluke of the recent era — a vivid reminder to validate across many market regimes.</w:t>
      </w:r>
    </w:p>
    <w:p>
      <w:pPr>
        <w:pStyle w:val="ListBullet"/>
        <w:spacing w:after="60" w:line="264" w:lineRule="auto"/>
      </w:pPr>
      <w:r>
        <w:rPr>
          <w:b/>
        </w:rPr>
        <w:t>E10 — Auditioning the ‘about-to-turn’ sectors. (OBSERVING.)</w:t>
      </w:r>
      <w:r>
        <w:rPr>
          <w:b w:val="0"/>
        </w:rPr>
        <w:t xml:space="preserve"> Sectors just outside our cutoff that show accelerating momentum now get a small audition in the scan, tagged so we can measure whether that attention pays off.</w:t>
      </w:r>
    </w:p>
    <w:p>
      <w:pPr>
        <w:pStyle w:val="Heading3"/>
        <w:spacing w:before="180" w:after="80"/>
      </w:pPr>
      <w:r>
        <w:rPr>
          <w:rFonts w:ascii="Calibri" w:hAnsi="Calibri"/>
          <w:b/>
          <w:color w:val="C55A11"/>
          <w:sz w:val="23"/>
        </w:rPr>
        <w:t>Theme 4 — The Minervini Trend Template</w:t>
      </w:r>
    </w:p>
    <w:p>
      <w:pPr>
        <w:pStyle w:val="ListBullet"/>
        <w:spacing w:after="60" w:line="264" w:lineRule="auto"/>
      </w:pPr>
      <w:r>
        <w:rPr>
          <w:b/>
        </w:rPr>
        <w:t>E14 — Backtesting the Trend Template. (Nuanced — a split verdict.)</w:t>
      </w:r>
      <w:r>
        <w:rPr>
          <w:b w:val="0"/>
        </w:rPr>
        <w:t xml:space="preserve"> Minervini’s famous 8-point trend checklist was tested over 10 years and 234,000 stock-weeks. Against a naive ‘buy everything that passed the prefilter,’ it showed no monthly edge. But against our OWN older trend check, it won in all 11 years, including both down years. So we adopted it precisely where it belongs — as the discovery screen that narrows 1,000 small-caps to a shortlist — rather than forcing it somewhere it hadn’t earned.</w:t>
      </w:r>
    </w:p>
    <w:p>
      <w:pPr>
        <w:pStyle w:val="ListBullet"/>
        <w:spacing w:after="60" w:line="264" w:lineRule="auto"/>
      </w:pPr>
      <w:r>
        <w:rPr>
          <w:b/>
        </w:rPr>
        <w:t>E15 — Live Trend Template + Super-Performer discovery. (OBSERVING.)</w:t>
      </w:r>
      <w:r>
        <w:rPr>
          <w:b w:val="0"/>
        </w:rPr>
        <w:t xml:space="preserve"> The template now powers the growth-discovery screen. Its first run surfaced names up 87%–611% off their lows for further research.</w:t>
      </w:r>
    </w:p>
    <w:p>
      <w:pPr>
        <w:pStyle w:val="Heading3"/>
        <w:spacing w:before="180" w:after="80"/>
      </w:pPr>
      <w:r>
        <w:rPr>
          <w:rFonts w:ascii="Calibri" w:hAnsi="Calibri"/>
          <w:b/>
          <w:color w:val="C55A11"/>
          <w:sz w:val="23"/>
        </w:rPr>
        <w:t>Theme 5 — Plumbing and discipline</w:t>
      </w:r>
    </w:p>
    <w:p>
      <w:pPr>
        <w:pStyle w:val="ListBullet"/>
        <w:spacing w:after="60" w:line="264" w:lineRule="auto"/>
      </w:pPr>
      <w:r>
        <w:rPr>
          <w:b/>
        </w:rPr>
        <w:t>E3 — Kill the parallel pipeline. (WORKED.)</w:t>
      </w:r>
      <w:r>
        <w:rPr>
          <w:b w:val="0"/>
        </w:rPr>
        <w:t xml:space="preserve"> An ungated back-door entry path was responsible for four losing trades; merging everything through one gated front door fixed it. Standing rule ever since: never bolt on a duplicate pipeline.</w:t>
      </w:r>
    </w:p>
    <w:p>
      <w:pPr>
        <w:pStyle w:val="ListBullet"/>
        <w:spacing w:after="60" w:line="264" w:lineRule="auto"/>
      </w:pPr>
      <w:r>
        <w:rPr>
          <w:b/>
        </w:rPr>
        <w:t>E4 — A valuation cap must actually demote the signal. (WORKED, bug fix.)</w:t>
      </w:r>
      <w:r>
        <w:rPr>
          <w:b w:val="0"/>
        </w:rPr>
        <w:t xml:space="preserve"> We found a flaw where an overvalued stock had its conviction capped but was still auto-bought. The very next scan, the fix correctly demoted seven would-be buys.</w:t>
      </w:r>
    </w:p>
    <w:p>
      <w:pPr>
        <w:pStyle w:val="ListBullet"/>
        <w:spacing w:after="60" w:line="264" w:lineRule="auto"/>
      </w:pPr>
      <w:r>
        <w:rPr>
          <w:b/>
        </w:rPr>
        <w:t>E5 — Close the learning loop. (WORKED.)</w:t>
      </w:r>
      <w:r>
        <w:rPr>
          <w:b w:val="0"/>
        </w:rPr>
        <w:t xml:space="preserve"> Every automated exit now produces a scored record. Without this, none of the adaptive learning above would be possible.</w:t>
      </w:r>
    </w:p>
    <w:p>
      <w:pPr>
        <w:pStyle w:val="ListBullet"/>
        <w:spacing w:after="60" w:line="264" w:lineRule="auto"/>
      </w:pPr>
      <w:r>
        <w:rPr>
          <w:b/>
        </w:rPr>
        <w:t>E13 — Grading the AI chart-reader. (OBSERVING, with a costly lesson.)</w:t>
      </w:r>
      <w:r>
        <w:rPr>
          <w:b w:val="0"/>
        </w:rPr>
        <w:t xml:space="preserve"> A one-time paid backtest to measure whether the AI’s chart calls actually help. A bug once let it silently spend ~$10 while saving zero results — so we added hard spending safeguards and a rule that any paid process must prove it’s saving results before continuing. Budget discipline is now enforced in code.</w:t>
      </w:r>
    </w:p>
    <w:tbl>
      <w:tblPr>
        <w:tblW w:type="auto" w:w="0"/>
        <w:jc w:val="center"/>
        <w:tblLook w:firstColumn="1" w:firstRow="1" w:lastColumn="0" w:lastRow="0" w:noHBand="0" w:noVBand="1" w:val="04A0"/>
      </w:tblPr>
      <w:tblGrid>
        <w:gridCol w:w="9360"/>
      </w:tblGrid>
      <w:tr>
        <w:tc>
          <w:tcPr>
            <w:tcW w:type="dxa" w:w="9360"/>
            <w:shd w:val="clear" w:color="auto" w:fill="EEF2F8"/>
            <w:tcMar>
              <w:top w:w="120" w:type="dxa"/>
              <w:bottom w:w="120" w:type="dxa"/>
              <w:start w:w="160" w:type="dxa"/>
              <w:end w:w="160" w:type="dxa"/>
            </w:tcMar>
            <w:tcBorders>
              <w:top w:val="single" w:sz="4" w:color="2E5496"/>
              <w:bottom w:val="single" w:sz="4" w:color="2E5496"/>
              <w:start w:val="single" w:sz="22" w:color="2E5496"/>
              <w:end w:val="single" w:sz="4" w:color="2E5496"/>
            </w:tcBorders>
          </w:tcPr>
          <w:p>
            <w:pPr>
              <w:spacing w:after="40"/>
            </w:pPr>
            <w:r>
              <w:rPr>
                <w:b/>
                <w:color w:val="2E5496"/>
              </w:rPr>
              <w:t>The pattern to notice</w:t>
            </w:r>
          </w:p>
          <w:p>
            <w:pPr>
              <w:spacing w:line="276" w:lineRule="auto" w:after="0"/>
            </w:pPr>
            <w:r>
              <w:rPr>
                <w:b w:val="0"/>
              </w:rPr>
              <w:t>Look back over these. Support-based stops: kept because they passed a split test. Earnings-acceleration: thrown out because it failed one. Sector-picking: honestly labeled as adding focus, not alpha. The Trend Template: adopted only where it proved itself. This is what ‘evidence-based’ actually looks like in practice — including the discipline to reject your own good ideas.</w:t>
            </w:r>
          </w:p>
        </w:tc>
      </w:tr>
    </w:tbl>
    <w:p>
      <w:pPr>
        <w:spacing w:after="80"/>
      </w:pPr>
    </w:p>
    <w:p>
      <w:r>
        <w:br w:type="page"/>
      </w:r>
    </w:p>
    <w:p>
      <w:pPr>
        <w:pStyle w:val="Heading1"/>
        <w:spacing w:before="320" w:after="140"/>
      </w:pPr>
      <w:r>
        <w:rPr>
          <w:rFonts w:ascii="Calibri" w:hAnsi="Calibri"/>
          <w:b/>
          <w:color w:val="1F3864"/>
          <w:sz w:val="34"/>
        </w:rPr>
        <w:t>12. Why We Do Things This Way</w:t>
      </w:r>
    </w:p>
    <w:p>
      <w:pPr>
        <w:spacing w:after="120" w:before="0" w:line="276" w:lineRule="auto"/>
      </w:pPr>
      <w:r>
        <w:rPr>
          <w:b w:val="0"/>
        </w:rPr>
        <w:t>To pull the threads together, here are the principles that recur throughout the platform, and the reasoning behind each.</w:t>
      </w:r>
    </w:p>
    <w:tbl>
      <w:tblPr>
        <w:tblStyle w:val="TableGrid"/>
        <w:tblW w:type="auto" w:w="0"/>
        <w:jc w:val="center"/>
        <w:tblLook w:firstColumn="1" w:firstRow="1" w:lastColumn="0" w:lastRow="0" w:noHBand="0" w:noVBand="1" w:val="04A0"/>
      </w:tblPr>
      <w:tblGrid>
        <w:gridCol w:w="4680"/>
        <w:gridCol w:w="4680"/>
      </w:tblGrid>
      <w:tr>
        <w:tc>
          <w:tcPr>
            <w:tcW w:type="dxa" w:w="4176"/>
            <w:shd w:val="clear" w:color="auto" w:fill="1F3864"/>
            <w:tcMar>
              <w:top w:w="70" w:type="dxa"/>
              <w:bottom w:w="70" w:type="dxa"/>
              <w:start w:w="110" w:type="dxa"/>
              <w:end w:w="110" w:type="dxa"/>
            </w:tcMar>
          </w:tcPr>
          <w:p>
            <w:r/>
            <w:r>
              <w:rPr>
                <w:b/>
                <w:color w:val="FFFFFF"/>
              </w:rPr>
              <w:t>Principle</w:t>
            </w:r>
          </w:p>
        </w:tc>
        <w:tc>
          <w:tcPr>
            <w:tcW w:type="dxa" w:w="5184"/>
            <w:shd w:val="clear" w:color="auto" w:fill="1F3864"/>
            <w:tcMar>
              <w:top w:w="70" w:type="dxa"/>
              <w:bottom w:w="70" w:type="dxa"/>
              <w:start w:w="110" w:type="dxa"/>
              <w:end w:w="110" w:type="dxa"/>
            </w:tcMar>
          </w:tcPr>
          <w:p>
            <w:r/>
            <w:r>
              <w:rPr>
                <w:b/>
                <w:color w:val="FFFFFF"/>
              </w:rPr>
              <w:t>The reasoning</w:t>
            </w:r>
          </w:p>
        </w:tc>
      </w:tr>
      <w:tr>
        <w:tc>
          <w:tcPr>
            <w:tcW w:type="dxa" w:w="4176"/>
            <w:shd w:val="clear" w:color="auto" w:fill="EEF2F8"/>
            <w:tcMar>
              <w:top w:w="60" w:type="dxa"/>
              <w:bottom w:w="60" w:type="dxa"/>
              <w:start w:w="110" w:type="dxa"/>
              <w:end w:w="110" w:type="dxa"/>
            </w:tcMar>
          </w:tcPr>
          <w:p>
            <w:pPr>
              <w:spacing w:line="252" w:lineRule="auto" w:after="0"/>
            </w:pPr>
            <w:r/>
            <w:r>
              <w:rPr>
                <w:b w:val="0"/>
              </w:rPr>
              <w:t>Paper first, real money later</w:t>
            </w:r>
          </w:p>
        </w:tc>
        <w:tc>
          <w:tcPr>
            <w:tcW w:type="dxa" w:w="5184"/>
            <w:shd w:val="clear" w:color="auto" w:fill="EEF2F8"/>
            <w:tcMar>
              <w:top w:w="60" w:type="dxa"/>
              <w:bottom w:w="60" w:type="dxa"/>
              <w:start w:w="110" w:type="dxa"/>
              <w:end w:w="110" w:type="dxa"/>
            </w:tcMar>
          </w:tcPr>
          <w:p>
            <w:pPr>
              <w:spacing w:line="252" w:lineRule="auto" w:after="0"/>
            </w:pPr>
            <w:r/>
            <w:r>
              <w:rPr>
                <w:b w:val="0"/>
              </w:rPr>
              <w:t>A track record you can trust beats an early start. Automating both entries and exits keeps the record honest — no hindsight sneaking in.</w:t>
            </w:r>
          </w:p>
        </w:tc>
      </w:tr>
      <w:tr>
        <w:tc>
          <w:tcPr>
            <w:tcW w:type="dxa" w:w="4176"/>
            <w:shd w:val="clear" w:color="auto" w:fill="FFFFFF"/>
            <w:tcMar>
              <w:top w:w="60" w:type="dxa"/>
              <w:bottom w:w="60" w:type="dxa"/>
              <w:start w:w="110" w:type="dxa"/>
              <w:end w:w="110" w:type="dxa"/>
            </w:tcMar>
          </w:tcPr>
          <w:p>
            <w:pPr>
              <w:spacing w:line="252" w:lineRule="auto" w:after="0"/>
            </w:pPr>
            <w:r/>
            <w:r>
              <w:rPr>
                <w:b w:val="0"/>
              </w:rPr>
              <w:t>Cut losses fast, let winners run</w:t>
            </w:r>
          </w:p>
        </w:tc>
        <w:tc>
          <w:tcPr>
            <w:tcW w:type="dxa" w:w="5184"/>
            <w:shd w:val="clear" w:color="auto" w:fill="FFFFFF"/>
            <w:tcMar>
              <w:top w:w="60" w:type="dxa"/>
              <w:bottom w:w="60" w:type="dxa"/>
              <w:start w:w="110" w:type="dxa"/>
              <w:end w:w="110" w:type="dxa"/>
            </w:tcMar>
          </w:tcPr>
          <w:p>
            <w:pPr>
              <w:spacing w:line="252" w:lineRule="auto" w:after="0"/>
            </w:pPr>
            <w:r/>
            <w:r>
              <w:rPr>
                <w:b w:val="0"/>
              </w:rPr>
              <w:t>The math of investing rewards small controlled losses and uncapped gains. Fixed profit targets cap your winners; that’s backwards.</w:t>
            </w:r>
          </w:p>
        </w:tc>
      </w:tr>
      <w:tr>
        <w:tc>
          <w:tcPr>
            <w:tcW w:type="dxa" w:w="4176"/>
            <w:shd w:val="clear" w:color="auto" w:fill="EEF2F8"/>
            <w:tcMar>
              <w:top w:w="60" w:type="dxa"/>
              <w:bottom w:w="60" w:type="dxa"/>
              <w:start w:w="110" w:type="dxa"/>
              <w:end w:w="110" w:type="dxa"/>
            </w:tcMar>
          </w:tcPr>
          <w:p>
            <w:pPr>
              <w:spacing w:line="252" w:lineRule="auto" w:after="0"/>
            </w:pPr>
            <w:r/>
            <w:r>
              <w:rPr>
                <w:b w:val="0"/>
              </w:rPr>
              <w:t>Size by conviction and risk</w:t>
            </w:r>
          </w:p>
        </w:tc>
        <w:tc>
          <w:tcPr>
            <w:tcW w:type="dxa" w:w="5184"/>
            <w:shd w:val="clear" w:color="auto" w:fill="EEF2F8"/>
            <w:tcMar>
              <w:top w:w="60" w:type="dxa"/>
              <w:bottom w:w="60" w:type="dxa"/>
              <w:start w:w="110" w:type="dxa"/>
              <w:end w:w="110" w:type="dxa"/>
            </w:tcMar>
          </w:tcPr>
          <w:p>
            <w:pPr>
              <w:spacing w:line="252" w:lineRule="auto" w:after="0"/>
            </w:pPr>
            <w:r/>
            <w:r>
              <w:rPr>
                <w:b w:val="0"/>
              </w:rPr>
              <w:t>Every position risks the same small slice of the account, so no single trade can hurt us. Better ideas simply get more of the pool.</w:t>
            </w:r>
          </w:p>
        </w:tc>
      </w:tr>
      <w:tr>
        <w:tc>
          <w:tcPr>
            <w:tcW w:type="dxa" w:w="4176"/>
            <w:shd w:val="clear" w:color="auto" w:fill="FFFFFF"/>
            <w:tcMar>
              <w:top w:w="60" w:type="dxa"/>
              <w:bottom w:w="60" w:type="dxa"/>
              <w:start w:w="110" w:type="dxa"/>
              <w:end w:w="110" w:type="dxa"/>
            </w:tcMar>
          </w:tcPr>
          <w:p>
            <w:pPr>
              <w:spacing w:line="252" w:lineRule="auto" w:after="0"/>
            </w:pPr>
            <w:r/>
            <w:r>
              <w:rPr>
                <w:b w:val="0"/>
              </w:rPr>
              <w:t>Never loosen safety rules</w:t>
            </w:r>
          </w:p>
        </w:tc>
        <w:tc>
          <w:tcPr>
            <w:tcW w:type="dxa" w:w="5184"/>
            <w:shd w:val="clear" w:color="auto" w:fill="FFFFFF"/>
            <w:tcMar>
              <w:top w:w="60" w:type="dxa"/>
              <w:bottom w:w="60" w:type="dxa"/>
              <w:start w:w="110" w:type="dxa"/>
              <w:end w:w="110" w:type="dxa"/>
            </w:tcMar>
          </w:tcPr>
          <w:p>
            <w:pPr>
              <w:spacing w:line="252" w:lineRule="auto" w:after="0"/>
            </w:pPr>
            <w:r/>
            <w:r>
              <w:rPr>
                <w:b w:val="0"/>
              </w:rPr>
              <w:t>Selection rules can be experimented with; stops, risk caps, and earnings blackouts cannot. Safety is not a hypothesis.</w:t>
            </w:r>
          </w:p>
        </w:tc>
      </w:tr>
      <w:tr>
        <w:tc>
          <w:tcPr>
            <w:tcW w:type="dxa" w:w="4176"/>
            <w:shd w:val="clear" w:color="auto" w:fill="EEF2F8"/>
            <w:tcMar>
              <w:top w:w="60" w:type="dxa"/>
              <w:bottom w:w="60" w:type="dxa"/>
              <w:start w:w="110" w:type="dxa"/>
              <w:end w:w="110" w:type="dxa"/>
            </w:tcMar>
          </w:tcPr>
          <w:p>
            <w:pPr>
              <w:spacing w:line="252" w:lineRule="auto" w:after="0"/>
            </w:pPr>
            <w:r/>
            <w:r>
              <w:rPr>
                <w:b w:val="0"/>
              </w:rPr>
              <w:t>One front door for every idea</w:t>
            </w:r>
          </w:p>
        </w:tc>
        <w:tc>
          <w:tcPr>
            <w:tcW w:type="dxa" w:w="5184"/>
            <w:shd w:val="clear" w:color="auto" w:fill="EEF2F8"/>
            <w:tcMar>
              <w:top w:w="60" w:type="dxa"/>
              <w:bottom w:w="60" w:type="dxa"/>
              <w:start w:w="110" w:type="dxa"/>
              <w:end w:w="110" w:type="dxa"/>
            </w:tcMar>
          </w:tcPr>
          <w:p>
            <w:pPr>
              <w:spacing w:line="252" w:lineRule="auto" w:after="0"/>
            </w:pPr>
            <w:r/>
            <w:r>
              <w:rPr>
                <w:b w:val="0"/>
              </w:rPr>
              <w:t>All three tracks share the same gates and account, so a good idea from any source is treated identically — and no ungated back door can leak bad trades in.</w:t>
            </w:r>
          </w:p>
        </w:tc>
      </w:tr>
      <w:tr>
        <w:tc>
          <w:tcPr>
            <w:tcW w:type="dxa" w:w="4176"/>
            <w:shd w:val="clear" w:color="auto" w:fill="FFFFFF"/>
            <w:tcMar>
              <w:top w:w="60" w:type="dxa"/>
              <w:bottom w:w="60" w:type="dxa"/>
              <w:start w:w="110" w:type="dxa"/>
              <w:end w:w="110" w:type="dxa"/>
            </w:tcMar>
          </w:tcPr>
          <w:p>
            <w:pPr>
              <w:spacing w:line="252" w:lineRule="auto" w:after="0"/>
            </w:pPr>
            <w:r/>
            <w:r>
              <w:rPr>
                <w:b w:val="0"/>
              </w:rPr>
              <w:t>Change nothing without evidence</w:t>
            </w:r>
          </w:p>
        </w:tc>
        <w:tc>
          <w:tcPr>
            <w:tcW w:type="dxa" w:w="5184"/>
            <w:shd w:val="clear" w:color="auto" w:fill="FFFFFF"/>
            <w:tcMar>
              <w:top w:w="60" w:type="dxa"/>
              <w:bottom w:w="60" w:type="dxa"/>
              <w:start w:w="110" w:type="dxa"/>
              <w:end w:w="110" w:type="dxa"/>
            </w:tcMar>
          </w:tcPr>
          <w:p>
            <w:pPr>
              <w:spacing w:line="252" w:lineRule="auto" w:after="0"/>
            </w:pPr>
            <w:r/>
            <w:r>
              <w:rPr>
                <w:b w:val="0"/>
              </w:rPr>
              <w:t>Every rule change is an experiment with a success test set in advance. Plausible ideas that fail the test are rejected, however much we liked them.</w:t>
            </w:r>
          </w:p>
        </w:tc>
      </w:tr>
      <w:tr>
        <w:tc>
          <w:tcPr>
            <w:tcW w:type="dxa" w:w="4176"/>
            <w:shd w:val="clear" w:color="auto" w:fill="EEF2F8"/>
            <w:tcMar>
              <w:top w:w="60" w:type="dxa"/>
              <w:bottom w:w="60" w:type="dxa"/>
              <w:start w:w="110" w:type="dxa"/>
              <w:end w:w="110" w:type="dxa"/>
            </w:tcMar>
          </w:tcPr>
          <w:p>
            <w:pPr>
              <w:spacing w:line="252" w:lineRule="auto" w:after="0"/>
            </w:pPr>
            <w:r/>
            <w:r>
              <w:rPr>
                <w:b w:val="0"/>
              </w:rPr>
              <w:t>Prefer free data, respect the budget</w:t>
            </w:r>
          </w:p>
        </w:tc>
        <w:tc>
          <w:tcPr>
            <w:tcW w:type="dxa" w:w="5184"/>
            <w:shd w:val="clear" w:color="auto" w:fill="EEF2F8"/>
            <w:tcMar>
              <w:top w:w="60" w:type="dxa"/>
              <w:bottom w:w="60" w:type="dxa"/>
              <w:start w:w="110" w:type="dxa"/>
              <w:end w:w="110" w:type="dxa"/>
            </w:tcMar>
          </w:tcPr>
          <w:p>
            <w:pPr>
              <w:spacing w:line="252" w:lineRule="auto" w:after="0"/>
            </w:pPr>
            <w:r/>
            <w:r>
              <w:rPr>
                <w:b w:val="0"/>
              </w:rPr>
              <w:t>The system runs on free data wherever possible, and any paid process has hard spending caps — learned from a real overspend incident.</w:t>
            </w:r>
          </w:p>
        </w:tc>
      </w:tr>
      <w:tr>
        <w:tc>
          <w:tcPr>
            <w:tcW w:type="dxa" w:w="4176"/>
            <w:shd w:val="clear" w:color="auto" w:fill="FFFFFF"/>
            <w:tcMar>
              <w:top w:w="60" w:type="dxa"/>
              <w:bottom w:w="60" w:type="dxa"/>
              <w:start w:w="110" w:type="dxa"/>
              <w:end w:w="110" w:type="dxa"/>
            </w:tcMar>
          </w:tcPr>
          <w:p>
            <w:pPr>
              <w:spacing w:line="252" w:lineRule="auto" w:after="0"/>
            </w:pPr>
            <w:r/>
            <w:r>
              <w:rPr>
                <w:b w:val="0"/>
              </w:rPr>
              <w:t>Distinguish trading from investing</w:t>
            </w:r>
          </w:p>
        </w:tc>
        <w:tc>
          <w:tcPr>
            <w:tcW w:type="dxa" w:w="5184"/>
            <w:shd w:val="clear" w:color="auto" w:fill="FFFFFF"/>
            <w:tcMar>
              <w:top w:w="60" w:type="dxa"/>
              <w:bottom w:w="60" w:type="dxa"/>
              <w:start w:w="110" w:type="dxa"/>
              <w:end w:w="110" w:type="dxa"/>
            </w:tcMar>
          </w:tcPr>
          <w:p>
            <w:pPr>
              <w:spacing w:line="252" w:lineRule="auto" w:after="0"/>
            </w:pPr>
            <w:r/>
            <w:r>
              <w:rPr>
                <w:b w:val="0"/>
              </w:rPr>
              <w:t>The valuation gate lives only on the patient long-term track. On the momentum tracks, ‘expensive’ is not a reason to pass — we’re trading demand, not buying assets to hold forever.</w:t>
            </w:r>
          </w:p>
        </w:tc>
      </w:tr>
    </w:tbl>
    <w:p>
      <w:pPr>
        <w:spacing w:after="80"/>
      </w:pPr>
    </w:p>
    <w:p>
      <w:r>
        <w:br w:type="page"/>
      </w:r>
    </w:p>
    <w:p>
      <w:pPr>
        <w:pStyle w:val="Heading1"/>
        <w:spacing w:before="320" w:after="140"/>
      </w:pPr>
      <w:r>
        <w:rPr>
          <w:rFonts w:ascii="Calibri" w:hAnsi="Calibri"/>
          <w:b/>
          <w:color w:val="1F3864"/>
          <w:sz w:val="34"/>
        </w:rPr>
        <w:t>13. The Weekly and Daily Rhythm</w:t>
      </w:r>
    </w:p>
    <w:p>
      <w:pPr>
        <w:spacing w:after="120" w:before="0" w:line="276" w:lineRule="auto"/>
      </w:pPr>
      <w:r>
        <w:rPr>
          <w:b w:val="0"/>
        </w:rPr>
        <w:t>Everything runs on an automated schedule. Here’s a week in the life of the platform.</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1F3864"/>
            <w:tcMar>
              <w:top w:w="70" w:type="dxa"/>
              <w:bottom w:w="70" w:type="dxa"/>
              <w:start w:w="110" w:type="dxa"/>
              <w:end w:w="110" w:type="dxa"/>
            </w:tcMar>
          </w:tcPr>
          <w:p>
            <w:r/>
            <w:r>
              <w:rPr>
                <w:b/>
                <w:color w:val="FFFFFF"/>
              </w:rPr>
              <w:t>When</w:t>
            </w:r>
          </w:p>
        </w:tc>
        <w:tc>
          <w:tcPr>
            <w:tcW w:type="dxa" w:w="7200"/>
            <w:shd w:val="clear" w:color="auto" w:fill="1F3864"/>
            <w:tcMar>
              <w:top w:w="70" w:type="dxa"/>
              <w:bottom w:w="70" w:type="dxa"/>
              <w:start w:w="110" w:type="dxa"/>
              <w:end w:w="110" w:type="dxa"/>
            </w:tcMar>
          </w:tcPr>
          <w:p>
            <w:r/>
            <w:r>
              <w:rPr>
                <w:b/>
                <w:color w:val="FFFFFF"/>
              </w:rPr>
              <w:t>What happens</w:t>
            </w:r>
          </w:p>
        </w:tc>
      </w:tr>
      <w:tr>
        <w:tc>
          <w:tcPr>
            <w:tcW w:type="dxa" w:w="2160"/>
            <w:shd w:val="clear" w:color="auto" w:fill="EEF2F8"/>
            <w:tcMar>
              <w:top w:w="60" w:type="dxa"/>
              <w:bottom w:w="60" w:type="dxa"/>
              <w:start w:w="110" w:type="dxa"/>
              <w:end w:w="110" w:type="dxa"/>
            </w:tcMar>
          </w:tcPr>
          <w:p>
            <w:pPr>
              <w:spacing w:line="252" w:lineRule="auto" w:after="0"/>
            </w:pPr>
            <w:r/>
            <w:r>
              <w:rPr>
                <w:b w:val="0"/>
              </w:rPr>
              <w:t>Sunday morning</w:t>
            </w:r>
          </w:p>
        </w:tc>
        <w:tc>
          <w:tcPr>
            <w:tcW w:type="dxa" w:w="7200"/>
            <w:shd w:val="clear" w:color="auto" w:fill="EEF2F8"/>
            <w:tcMar>
              <w:top w:w="60" w:type="dxa"/>
              <w:bottom w:w="60" w:type="dxa"/>
              <w:start w:w="110" w:type="dxa"/>
              <w:end w:w="110" w:type="dxa"/>
            </w:tcMar>
          </w:tcPr>
          <w:p>
            <w:pPr>
              <w:spacing w:line="252" w:lineRule="auto" w:after="0"/>
            </w:pPr>
            <w:r/>
            <w:r>
              <w:rPr>
                <w:b w:val="0"/>
              </w:rPr>
              <w:t>Rebuild the company universe from live market data; refresh the news/sentiment cache (cheaply, once a week); run the sector funnel to pick the week’s focus list; review last week’s outcomes; run the growth-discovery screen; re-score every open experiment against new data.</w:t>
            </w:r>
          </w:p>
        </w:tc>
      </w:tr>
      <w:tr>
        <w:tc>
          <w:tcPr>
            <w:tcW w:type="dxa" w:w="2160"/>
            <w:shd w:val="clear" w:color="auto" w:fill="FFFFFF"/>
            <w:tcMar>
              <w:top w:w="60" w:type="dxa"/>
              <w:bottom w:w="60" w:type="dxa"/>
              <w:start w:w="110" w:type="dxa"/>
              <w:end w:w="110" w:type="dxa"/>
            </w:tcMar>
          </w:tcPr>
          <w:p>
            <w:pPr>
              <w:spacing w:line="252" w:lineRule="auto" w:after="0"/>
            </w:pPr>
            <w:r/>
            <w:r>
              <w:rPr>
                <w:b w:val="0"/>
              </w:rPr>
              <w:t>Weekday 9:35 AM</w:t>
            </w:r>
          </w:p>
        </w:tc>
        <w:tc>
          <w:tcPr>
            <w:tcW w:type="dxa" w:w="7200"/>
            <w:shd w:val="clear" w:color="auto" w:fill="FFFFFF"/>
            <w:tcMar>
              <w:top w:w="60" w:type="dxa"/>
              <w:bottom w:w="60" w:type="dxa"/>
              <w:start w:w="110" w:type="dxa"/>
              <w:end w:w="110" w:type="dxa"/>
            </w:tcMar>
          </w:tcPr>
          <w:p>
            <w:pPr>
              <w:spacing w:line="252" w:lineRule="auto" w:after="0"/>
            </w:pPr>
            <w:r/>
            <w:r>
              <w:rPr>
                <w:b w:val="0"/>
              </w:rPr>
              <w:t>The full engine: score pending outcomes, run the deep seven-agent analysis on the focus list, run the swing scan across the whole universe, run the Growth Hunter, auto-enter qualifying trades, check every open position for exits, and re-evaluate stops.</w:t>
            </w:r>
          </w:p>
        </w:tc>
      </w:tr>
      <w:tr>
        <w:tc>
          <w:tcPr>
            <w:tcW w:type="dxa" w:w="2160"/>
            <w:shd w:val="clear" w:color="auto" w:fill="EEF2F8"/>
            <w:tcMar>
              <w:top w:w="60" w:type="dxa"/>
              <w:bottom w:w="60" w:type="dxa"/>
              <w:start w:w="110" w:type="dxa"/>
              <w:end w:w="110" w:type="dxa"/>
            </w:tcMar>
          </w:tcPr>
          <w:p>
            <w:pPr>
              <w:spacing w:line="252" w:lineRule="auto" w:after="0"/>
            </w:pPr>
            <w:r/>
            <w:r>
              <w:rPr>
                <w:b w:val="0"/>
              </w:rPr>
              <w:t>Weekday 4:30 PM</w:t>
            </w:r>
          </w:p>
        </w:tc>
        <w:tc>
          <w:tcPr>
            <w:tcW w:type="dxa" w:w="7200"/>
            <w:shd w:val="clear" w:color="auto" w:fill="EEF2F8"/>
            <w:tcMar>
              <w:top w:w="60" w:type="dxa"/>
              <w:bottom w:w="60" w:type="dxa"/>
              <w:start w:w="110" w:type="dxa"/>
              <w:end w:w="110" w:type="dxa"/>
            </w:tcMar>
          </w:tcPr>
          <w:p>
            <w:pPr>
              <w:spacing w:line="252" w:lineRule="auto" w:after="0"/>
            </w:pPr>
            <w:r/>
            <w:r>
              <w:rPr>
                <w:b w:val="0"/>
              </w:rPr>
              <w:t>A ‘did you act on this?’ prompt for each buy signal, so real-world decisions are captured.</w:t>
            </w:r>
          </w:p>
        </w:tc>
      </w:tr>
      <w:tr>
        <w:tc>
          <w:tcPr>
            <w:tcW w:type="dxa" w:w="2160"/>
            <w:shd w:val="clear" w:color="auto" w:fill="FFFFFF"/>
            <w:tcMar>
              <w:top w:w="60" w:type="dxa"/>
              <w:bottom w:w="60" w:type="dxa"/>
              <w:start w:w="110" w:type="dxa"/>
              <w:end w:w="110" w:type="dxa"/>
            </w:tcMar>
          </w:tcPr>
          <w:p>
            <w:pPr>
              <w:spacing w:line="252" w:lineRule="auto" w:after="0"/>
            </w:pPr>
            <w:r/>
            <w:r>
              <w:rPr>
                <w:b w:val="0"/>
              </w:rPr>
              <w:t>Weekday 5:00 PM</w:t>
            </w:r>
          </w:p>
        </w:tc>
        <w:tc>
          <w:tcPr>
            <w:tcW w:type="dxa" w:w="7200"/>
            <w:shd w:val="clear" w:color="auto" w:fill="FFFFFF"/>
            <w:tcMar>
              <w:top w:w="60" w:type="dxa"/>
              <w:bottom w:w="60" w:type="dxa"/>
              <w:start w:w="110" w:type="dxa"/>
              <w:end w:w="110" w:type="dxa"/>
            </w:tcMar>
          </w:tcPr>
          <w:p>
            <w:pPr>
              <w:spacing w:line="252" w:lineRule="auto" w:after="0"/>
            </w:pPr>
            <w:r/>
            <w:r>
              <w:rPr>
                <w:b w:val="0"/>
              </w:rPr>
              <w:t>An evening profit-and-loss summary of the paper portfolios.</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F2F2F2"/>
            <w:tcMar>
              <w:top w:w="120" w:type="dxa"/>
              <w:bottom w:w="120" w:type="dxa"/>
              <w:start w:w="160" w:type="dxa"/>
              <w:end w:w="160" w:type="dxa"/>
            </w:tcMar>
            <w:tcBorders>
              <w:top w:val="single" w:sz="4" w:color="595959"/>
              <w:bottom w:val="single" w:sz="4" w:color="595959"/>
              <w:start w:val="single" w:sz="22" w:color="595959"/>
              <w:end w:val="single" w:sz="4" w:color="595959"/>
            </w:tcBorders>
          </w:tcPr>
          <w:p>
            <w:pPr>
              <w:spacing w:after="40"/>
            </w:pPr>
            <w:r>
              <w:rPr>
                <w:b/>
                <w:color w:val="595959"/>
              </w:rPr>
              <w:t>A candid limitation</w:t>
            </w:r>
          </w:p>
          <w:p>
            <w:pPr>
              <w:spacing w:line="276" w:lineRule="auto" w:after="0"/>
            </w:pPr>
            <w:r>
              <w:rPr>
                <w:b w:val="0"/>
              </w:rPr>
              <w:t>These tasks fire only while the app is running on my machine, so a few scans have run late or been missed (logged internally as an open question). It’s a known rough edge, not hidden — honesty about limitations is part of the same discipline as honesty about experiments.</w:t>
            </w:r>
          </w:p>
        </w:tc>
      </w:tr>
    </w:tbl>
    <w:p>
      <w:pPr>
        <w:spacing w:after="80"/>
      </w:pPr>
    </w:p>
    <w:p>
      <w:r>
        <w:br w:type="page"/>
      </w:r>
    </w:p>
    <w:p>
      <w:pPr>
        <w:pStyle w:val="Heading1"/>
        <w:spacing w:before="320" w:after="140"/>
      </w:pPr>
      <w:r>
        <w:rPr>
          <w:rFonts w:ascii="Calibri" w:hAnsi="Calibri"/>
          <w:b/>
          <w:color w:val="1F3864"/>
          <w:sz w:val="34"/>
        </w:rPr>
        <w:t>Glossary</w:t>
      </w:r>
    </w:p>
    <w:p>
      <w:pPr>
        <w:spacing w:after="100" w:line="264" w:lineRule="auto"/>
      </w:pPr>
      <w:r>
        <w:rPr>
          <w:b/>
          <w:color w:val="1F3864"/>
        </w:rPr>
        <w:t xml:space="preserve">ATR (Average True Range) — </w:t>
      </w:r>
      <w:r>
        <w:t>A measure of a stock’s typical daily price movement; used to size stops and positions.</w:t>
      </w:r>
    </w:p>
    <w:p>
      <w:pPr>
        <w:spacing w:after="100" w:line="264" w:lineRule="auto"/>
      </w:pPr>
      <w:r>
        <w:rPr>
          <w:b/>
          <w:color w:val="1F3864"/>
        </w:rPr>
        <w:t xml:space="preserve">Backtest — </w:t>
      </w:r>
      <w:r>
        <w:t>Replaying a strategy on historical data to see how it would have performed.</w:t>
      </w:r>
    </w:p>
    <w:p>
      <w:pPr>
        <w:spacing w:after="100" w:line="264" w:lineRule="auto"/>
      </w:pPr>
      <w:r>
        <w:rPr>
          <w:b/>
          <w:color w:val="1F3864"/>
        </w:rPr>
        <w:t xml:space="preserve">Conviction score — </w:t>
      </w:r>
      <w:r>
        <w:t>The system’s 0–10 confidence in a long-term idea; drives position size.</w:t>
      </w:r>
    </w:p>
    <w:p>
      <w:pPr>
        <w:spacing w:after="100" w:line="264" w:lineRule="auto"/>
      </w:pPr>
      <w:r>
        <w:rPr>
          <w:b/>
          <w:color w:val="1F3864"/>
        </w:rPr>
        <w:t xml:space="preserve">Fundamentals — </w:t>
      </w:r>
      <w:r>
        <w:t>The health of the underlying business: revenue, earnings, margins, debt, cash.</w:t>
      </w:r>
    </w:p>
    <w:p>
      <w:pPr>
        <w:spacing w:after="100" w:line="264" w:lineRule="auto"/>
      </w:pPr>
      <w:r>
        <w:rPr>
          <w:b/>
          <w:color w:val="1F3864"/>
        </w:rPr>
        <w:t xml:space="preserve">Gate — </w:t>
      </w:r>
      <w:r>
        <w:t>A rule that can block or demote a trade (e.g., valuation gate, correlation gate).</w:t>
      </w:r>
    </w:p>
    <w:p>
      <w:pPr>
        <w:spacing w:after="100" w:line="264" w:lineRule="auto"/>
      </w:pPr>
      <w:r>
        <w:rPr>
          <w:b/>
          <w:color w:val="1F3864"/>
        </w:rPr>
        <w:t xml:space="preserve">Moving average — </w:t>
      </w:r>
      <w:r>
        <w:t>The average price over a set number of days; a smoothed trend line.</w:t>
      </w:r>
    </w:p>
    <w:p>
      <w:pPr>
        <w:spacing w:after="100" w:line="264" w:lineRule="auto"/>
      </w:pPr>
      <w:r>
        <w:rPr>
          <w:b/>
          <w:color w:val="1F3864"/>
        </w:rPr>
        <w:t xml:space="preserve">P/E ratio — </w:t>
      </w:r>
      <w:r>
        <w:t>Price-to-earnings; how expensive a stock is relative to its profits.</w:t>
      </w:r>
    </w:p>
    <w:p>
      <w:pPr>
        <w:spacing w:after="100" w:line="264" w:lineRule="auto"/>
      </w:pPr>
      <w:r>
        <w:rPr>
          <w:b/>
          <w:color w:val="1F3864"/>
        </w:rPr>
        <w:t xml:space="preserve">Paper portfolio — </w:t>
      </w:r>
      <w:r>
        <w:t>A simulated account using real prices but pretend money.</w:t>
      </w:r>
    </w:p>
    <w:p>
      <w:pPr>
        <w:spacing w:after="100" w:line="264" w:lineRule="auto"/>
      </w:pPr>
      <w:r>
        <w:rPr>
          <w:b/>
          <w:color w:val="1F3864"/>
        </w:rPr>
        <w:t xml:space="preserve">Prefilter — </w:t>
      </w:r>
      <w:r>
        <w:t>The fast first-pass screen that narrows the universe before deeper analysis.</w:t>
      </w:r>
    </w:p>
    <w:p>
      <w:pPr>
        <w:spacing w:after="100" w:line="264" w:lineRule="auto"/>
      </w:pPr>
      <w:r>
        <w:rPr>
          <w:b/>
          <w:color w:val="1F3864"/>
        </w:rPr>
        <w:t xml:space="preserve">RSI — </w:t>
      </w:r>
      <w:r>
        <w:t>Relative Strength Index; a 0–100 momentum gauge for overbought/oversold.</w:t>
      </w:r>
    </w:p>
    <w:p>
      <w:pPr>
        <w:spacing w:after="100" w:line="264" w:lineRule="auto"/>
      </w:pPr>
      <w:r>
        <w:rPr>
          <w:b/>
          <w:color w:val="1F3864"/>
        </w:rPr>
        <w:t xml:space="preserve">Stage 2 — </w:t>
      </w:r>
      <w:r>
        <w:t>The advancing phase of a stock’s life cycle — the phase we want to buy.</w:t>
      </w:r>
    </w:p>
    <w:p>
      <w:pPr>
        <w:spacing w:after="100" w:line="264" w:lineRule="auto"/>
      </w:pPr>
      <w:r>
        <w:rPr>
          <w:b/>
          <w:color w:val="1F3864"/>
        </w:rPr>
        <w:t xml:space="preserve">Stop / stop-loss — </w:t>
      </w:r>
      <w:r>
        <w:t>A pre-set price at which a losing position is sold automatically.</w:t>
      </w:r>
    </w:p>
    <w:p>
      <w:pPr>
        <w:spacing w:after="100" w:line="264" w:lineRule="auto"/>
      </w:pPr>
      <w:r>
        <w:rPr>
          <w:b/>
          <w:color w:val="1F3864"/>
        </w:rPr>
        <w:t xml:space="preserve">Survivorship bias — </w:t>
      </w:r>
      <w:r>
        <w:t>The error of studying only the survivors (winners) and missing the many failures that vanished from view.</w:t>
      </w:r>
    </w:p>
    <w:p>
      <w:pPr>
        <w:spacing w:after="100" w:line="264" w:lineRule="auto"/>
      </w:pPr>
      <w:r>
        <w:rPr>
          <w:b/>
          <w:color w:val="1F3864"/>
        </w:rPr>
        <w:t xml:space="preserve">Swing trade — </w:t>
      </w:r>
      <w:r>
        <w:t>A short-term trade aiming to capture a 2–6 week move.</w:t>
      </w:r>
    </w:p>
    <w:p>
      <w:pPr>
        <w:spacing w:after="100" w:line="264" w:lineRule="auto"/>
      </w:pPr>
      <w:r>
        <w:rPr>
          <w:b/>
          <w:color w:val="1F3864"/>
        </w:rPr>
        <w:t xml:space="preserve">Trend Template — </w:t>
      </w:r>
      <w:r>
        <w:t>Minervini’s 8-point checklist identifying stocks in strong uptrends.</w:t>
      </w:r>
    </w:p>
    <w:p>
      <w:pPr>
        <w:spacing w:after="100" w:line="264" w:lineRule="auto"/>
      </w:pPr>
      <w:r>
        <w:rPr>
          <w:b/>
          <w:color w:val="1F3864"/>
        </w:rPr>
        <w:t xml:space="preserve">Universe — </w:t>
      </w:r>
      <w:r>
        <w:t>The full list of companies the system considers (~450 large + ~1,000 smaller for discovery).</w:t>
      </w:r>
    </w:p>
    <w:p>
      <w:pPr>
        <w:pBdr>
          <w:bottom w:val="single" w:sz="6" w:space="4" w:color="D9D9D9"/>
        </w:pBdr>
      </w:pPr>
    </w:p>
    <w:p>
      <w:pPr>
        <w:spacing w:after="120" w:before="160" w:line="276" w:lineRule="auto"/>
        <w:jc w:val="center"/>
      </w:pPr>
      <w:r>
        <w:rPr>
          <w:i/>
          <w:color w:val="595959"/>
          <w:sz w:val="18"/>
        </w:rPr>
        <w:t>EquityLens — a research tool and a paper track record, not investment advice. Real trades are reviewed and placed manually.</w:t>
      </w:r>
    </w:p>
    <w:sectPr w:rsidR="00FC693F" w:rsidRPr="0006063C" w:rsidSect="00034616">
      <w:headerReference w:type="default" r:id="rId9"/>
      <w:footerReference w:type="default" r:id="rId10"/>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A6A6A6"/>
        <w:sz w:val="16"/>
      </w:rPr>
      <w:t xml:space="preserve">Page </w:t>
    </w:r>
    <w:r>
      <w:rPr>
        <w:color w:val="A6A6A6"/>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A6A6A6"/>
        <w:sz w:val="16"/>
      </w:rPr>
      <w:t>EquityLens — Platform Explainer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