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500"/>
        <w:jc w:val="center"/>
      </w:pPr>
      <w:r>
        <w:rPr>
          <w:rFonts w:ascii="Times New Roman" w:cs="Times New Roman" w:eastAsia="Times New Roman" w:hAnsi="Times New Roman"/>
          <w:b/>
          <w:bCs/>
          <w:sz w:val="32"/>
          <w:szCs w:val="32"/>
        </w:rPr>
        <w:t xml:space="preserve">HUMAN ACTIVITY RECOGNITION FROM SMARTPHONE INERTIAL SENSOR DATA: A COMPARATIVE STUDY OF MLP, 1D-CNN AND BiLSTM ARCHITECTURES</w:t>
      </w:r>
    </w:p>
    <w:p>
      <w:pPr>
        <w:spacing w:after="160"/>
        <w:jc w:val="center"/>
      </w:pPr>
      <w:r>
        <w:rPr>
          <w:rFonts w:ascii="Times New Roman" w:cs="Times New Roman" w:eastAsia="Times New Roman" w:hAnsi="Times New Roman"/>
          <w:b/>
          <w:bCs/>
          <w:sz w:val="24"/>
          <w:szCs w:val="24"/>
        </w:rPr>
        <w:t xml:space="preserve">Final report on</w:t>
      </w:r>
    </w:p>
    <w:p>
      <w:pPr>
        <w:spacing w:after="160"/>
        <w:jc w:val="center"/>
      </w:pPr>
      <w:r>
        <w:rPr>
          <w:rFonts w:ascii="Times New Roman" w:cs="Times New Roman" w:eastAsia="Times New Roman" w:hAnsi="Times New Roman"/>
          <w:b/>
          <w:bCs/>
          <w:sz w:val="24"/>
          <w:szCs w:val="24"/>
        </w:rPr>
        <w:t xml:space="preserve">Deep Learning Project</w:t>
      </w:r>
    </w:p>
    <w:p>
      <w:pPr>
        <w:spacing w:after="400"/>
        <w:jc w:val="center"/>
      </w:pPr>
      <w:r>
        <w:rPr>
          <w:rFonts w:ascii="Times New Roman" w:cs="Times New Roman" w:eastAsia="Times New Roman" w:hAnsi="Times New Roman"/>
          <w:b/>
          <w:bCs/>
          <w:sz w:val="24"/>
          <w:szCs w:val="24"/>
        </w:rPr>
        <w:t xml:space="preserve">[ICT-4442]</w:t>
      </w:r>
    </w:p>
    <w:p>
      <w:pPr>
        <w:spacing w:after="220"/>
        <w:jc w:val="center"/>
      </w:pPr>
      <w:r>
        <w:rPr>
          <w:rFonts w:ascii="Times New Roman" w:cs="Times New Roman" w:eastAsia="Times New Roman" w:hAnsi="Times New Roman"/>
          <w:b w:val="false"/>
          <w:bCs w:val="false"/>
          <w:sz w:val="24"/>
          <w:szCs w:val="24"/>
        </w:rPr>
        <w:t xml:space="preserve">Submitted By</w:t>
      </w:r>
    </w:p>
    <w:p>
      <w:pPr>
        <w:spacing w:after="160"/>
        <w:jc w:val="center"/>
      </w:pPr>
      <w:r>
        <w:rPr>
          <w:rFonts w:ascii="Times New Roman" w:cs="Times New Roman" w:eastAsia="Times New Roman" w:hAnsi="Times New Roman"/>
          <w:b/>
          <w:bCs/>
          <w:sz w:val="24"/>
          <w:szCs w:val="24"/>
        </w:rPr>
        <w:t xml:space="preserve">Soham Amundkar - 230953340</w:t>
      </w:r>
    </w:p>
    <w:p>
      <w:pPr>
        <w:spacing w:after="160"/>
        <w:jc w:val="center"/>
      </w:pPr>
      <w:r>
        <w:rPr>
          <w:rFonts w:ascii="Times New Roman" w:cs="Times New Roman" w:eastAsia="Times New Roman" w:hAnsi="Times New Roman"/>
          <w:b/>
          <w:bCs/>
          <w:sz w:val="24"/>
          <w:szCs w:val="24"/>
        </w:rPr>
        <w:t xml:space="preserve">Bhavya - 230953104</w:t>
      </w:r>
    </w:p>
    <w:p>
      <w:pPr>
        <w:spacing w:after="500"/>
        <w:jc w:val="center"/>
      </w:pPr>
      <w:r>
        <w:rPr>
          <w:rFonts w:ascii="Times New Roman" w:cs="Times New Roman" w:eastAsia="Times New Roman" w:hAnsi="Times New Roman"/>
          <w:b/>
          <w:bCs/>
          <w:sz w:val="24"/>
          <w:szCs w:val="24"/>
        </w:rPr>
        <w:t xml:space="preserve">Avni Tiwari - 230953500</w:t>
      </w:r>
    </w:p>
    <w:p>
      <w:pPr>
        <w:spacing w:after="500"/>
        <w:jc w:val="center"/>
      </w:pPr>
      <w:r>
        <w:drawing>
          <wp:inline distT="0" distB="0" distL="0" distR="0">
            <wp:extent cx="3095625"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95625" cy="828675"/>
                    </a:xfrm>
                    <a:prstGeom prst="rect">
                      <a:avLst/>
                    </a:prstGeom>
                  </pic:spPr>
                </pic:pic>
              </a:graphicData>
            </a:graphic>
          </wp:inline>
        </w:drawing>
      </w:r>
    </w:p>
    <w:p>
      <w:pPr>
        <w:spacing w:after="160"/>
        <w:jc w:val="center"/>
      </w:pPr>
      <w:r>
        <w:rPr>
          <w:rFonts w:ascii="Times New Roman" w:cs="Times New Roman" w:eastAsia="Times New Roman" w:hAnsi="Times New Roman"/>
          <w:b/>
          <w:bCs/>
          <w:sz w:val="24"/>
          <w:szCs w:val="24"/>
        </w:rPr>
        <w:t xml:space="preserve">SCHOOL OF COMPUTER ENGINEERING</w:t>
      </w:r>
    </w:p>
    <w:p>
      <w:pPr>
        <w:spacing w:after="160"/>
        <w:jc w:val="center"/>
      </w:pPr>
      <w:r>
        <w:rPr>
          <w:rFonts w:ascii="Times New Roman" w:cs="Times New Roman" w:eastAsia="Times New Roman" w:hAnsi="Times New Roman"/>
          <w:b/>
          <w:bCs/>
          <w:sz w:val="24"/>
          <w:szCs w:val="24"/>
        </w:rPr>
        <w:t xml:space="preserve">MANIPAL INSTITUTE OF TECHNOLOGY,</w:t>
      </w:r>
    </w:p>
    <w:p>
      <w:pPr>
        <w:spacing w:after="300"/>
        <w:jc w:val="center"/>
      </w:pPr>
      <w:r>
        <w:rPr>
          <w:rFonts w:ascii="Times New Roman" w:cs="Times New Roman" w:eastAsia="Times New Roman" w:hAnsi="Times New Roman"/>
          <w:b/>
          <w:bCs/>
          <w:sz w:val="24"/>
          <w:szCs w:val="24"/>
        </w:rPr>
        <w:t xml:space="preserve">MANIPAL ACADEMY OF HIGHER EDUCATION</w:t>
      </w:r>
    </w:p>
    <w:p>
      <w:pPr>
        <w:spacing w:after="160"/>
        <w:jc w:val="center"/>
      </w:pPr>
      <w:r>
        <w:rPr>
          <w:rFonts w:ascii="Times New Roman" w:cs="Times New Roman" w:eastAsia="Times New Roman" w:hAnsi="Times New Roman"/>
          <w:b/>
          <w:bCs/>
          <w:sz w:val="24"/>
          <w:szCs w:val="24"/>
        </w:rPr>
        <w:t xml:space="preserve">OCTOBER 2026</w:t>
      </w:r>
    </w:p>
    <w:p>
      <w:r>
        <w:br w:type="page"/>
      </w:r>
    </w:p>
    <w:p>
      <w:pPr>
        <w:spacing w:after="200"/>
        <w:jc w:val="center"/>
      </w:pPr>
      <w:r>
        <w:rPr>
          <w:rFonts w:ascii="Times New Roman" w:cs="Times New Roman" w:eastAsia="Times New Roman" w:hAnsi="Times New Roman"/>
          <w:b/>
          <w:bCs/>
          <w:sz w:val="36"/>
          <w:szCs w:val="36"/>
        </w:rPr>
        <w:t xml:space="preserve">Human Activity Recognition from Smartphone Inertial Sensor Data: A Comparative Study of MLP, 1D-CNN and BiLSTM Architectures</w:t>
      </w:r>
    </w:p>
    <w:p>
      <w:pPr>
        <w:spacing w:after="60"/>
        <w:jc w:val="center"/>
      </w:pPr>
      <w:r>
        <w:rPr>
          <w:rFonts w:ascii="Times New Roman" w:cs="Times New Roman" w:eastAsia="Times New Roman" w:hAnsi="Times New Roman"/>
          <w:sz w:val="22"/>
          <w:szCs w:val="22"/>
        </w:rPr>
        <w:t xml:space="preserve">Soham Amundkar, Bhavya, Avni Tiwari</w:t>
      </w:r>
    </w:p>
    <w:p>
      <w:pPr>
        <w:spacing w:after="50"/>
        <w:jc w:val="center"/>
      </w:pPr>
      <w:r>
        <w:rPr>
          <w:rFonts w:ascii="Times New Roman" w:cs="Times New Roman" w:eastAsia="Times New Roman" w:hAnsi="Times New Roman"/>
          <w:i/>
          <w:iCs/>
          <w:sz w:val="20"/>
          <w:szCs w:val="20"/>
        </w:rPr>
        <w:t xml:space="preserve">School of Computer Engineering, Manipal Institute of Technology, Manipal Academy of Higher Education</w:t>
      </w:r>
    </w:p>
    <w:p>
      <w:pPr>
        <w:spacing w:after="240"/>
        <w:jc w:val="center"/>
      </w:pPr>
      <w:r>
        <w:rPr>
          <w:rFonts w:ascii="Courier New" w:cs="Courier New" w:eastAsia="Courier New" w:hAnsi="Courier New"/>
          <w:sz w:val="18"/>
          <w:szCs w:val="18"/>
        </w:rPr>
        <w:t xml:space="preserve">230953340 | 230953104 | 230953500</w:t>
      </w:r>
    </w:p>
    <w:p>
      <w:pPr>
        <w:spacing w:after="130" w:line="262"/>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sz w:val="20"/>
          <w:szCs w:val="20"/>
        </w:rPr>
        <w:t xml:space="preserve"> - Human Activity Recognition (HAR) from body-worn inertial sensors is usually approached by choosing a deep architecture and reporting its accuracy, which leaves open how much of that accuracy the architecture is responsible for. This project treats the question directly. Three models drawn from different families, a Multi-Layer Perceptron, a one-dimensional Convolutional Neural Network and a Bidirectional LSTM, are trained on byte-identical 128 x 9 windows of raw tri-axial accelerometer and gyroscope signals from the UCI HAR dataset, under one optimiser, one early-stopping criterion and one metric set, so that architecture is the only variable that differs. A strictly subject-independent protocol is enforced and verified empirically, because the dataset’s 50% window overlap makes a random split leak near-duplicate windows across partitions. Each model is run at five seeds rather than once. The convolutional model reaches 0.9211 ± 0.0065 test accuracy against 0.8925 ± 0.0087 for the fully connected baseline, a separation well outside seed variation, while using 2.6 times fewer parameters. The bidirectional recurrent model reaches 0.8921 ± 0.0103, indistinguishable from the baseline on a comparable parameter budget, so the strongest structural assumption of the three returns nothing over making none at all. An ablation shows the baseline is not capacity-limited, so that gap is attributable to inductive bias rather than model size. A secondary study trains the same baseline architecture on the dataset’s 561 hand-crafted features and reaches 0.9170 ± 0.0067, statistically indistinguishable from the convolutional model: the architectural prior is not the only route to this level of performance, but it is the one that needs no expert feature design. Across every model the dominant error is the sitting/standing boundary, which a waist-mounted sensor cannot resolve because both postures present a near-identical gravity vector.</w:t>
      </w:r>
    </w:p>
    <w:p>
      <w:pPr>
        <w:spacing w:after="160" w:line="262"/>
        <w:jc w:val="both"/>
      </w:pPr>
      <w:r>
        <w:rPr>
          <w:rFonts w:ascii="Times New Roman" w:cs="Times New Roman" w:eastAsia="Times New Roman" w:hAnsi="Times New Roman"/>
          <w:b/>
          <w:bCs/>
          <w:i/>
          <w:iCs/>
          <w:sz w:val="20"/>
          <w:szCs w:val="20"/>
        </w:rPr>
        <w:t xml:space="preserve">Keywords</w:t>
      </w:r>
      <w:r>
        <w:rPr>
          <w:rFonts w:ascii="Times New Roman" w:cs="Times New Roman" w:eastAsia="Times New Roman" w:hAnsi="Times New Roman"/>
          <w:sz w:val="20"/>
          <w:szCs w:val="20"/>
        </w:rPr>
        <w:t xml:space="preserve"> - human activity recognition, inertial sensors, convolutional neural networks, recurrent neural networks, inductive bias, subject-independent evaluation, representation learning</w:t>
      </w:r>
    </w:p>
    <w:p>
      <w:pPr>
        <w:spacing w:after="130" w:before="280"/>
        <w:jc w:val="center"/>
      </w:pPr>
      <w:r>
        <w:rPr>
          <w:rFonts w:ascii="Times New Roman" w:cs="Times New Roman" w:eastAsia="Times New Roman" w:hAnsi="Times New Roman"/>
          <w:b/>
          <w:bCs/>
          <w:smallCaps/>
          <w:sz w:val="22"/>
          <w:szCs w:val="22"/>
        </w:rPr>
        <w:t xml:space="preserve">I. Introduction</w:t>
      </w:r>
    </w:p>
    <w:p>
      <w:pPr>
        <w:spacing w:after="110" w:line="262"/>
        <w:jc w:val="both"/>
      </w:pPr>
      <w:r>
        <w:rPr>
          <w:rFonts w:ascii="Times New Roman" w:cs="Times New Roman" w:eastAsia="Times New Roman" w:hAnsi="Times New Roman"/>
          <w:b w:val="false"/>
          <w:bCs w:val="false"/>
          <w:i w:val="false"/>
          <w:iCs w:val="false"/>
          <w:sz w:val="20"/>
          <w:szCs w:val="20"/>
        </w:rPr>
        <w:t xml:space="preserve">Human Activity Recognition is the task of inferring what physical activity a person is performing from time-series signals captured by body-worn sensors. Because modern smartphones carry both an accelerometer and a gyroscope, the problem has a large deployed footprint: continuous health and rehabilitation monitoring, fall detection for elderly care, energy-expenditure estimation in fitness platforms, and context-aware behaviour in mobile operating systems. The required hardware is already in almost every pocket, so improvements in recognition accuracy translate into deployable value at no additional cost to the user.</w:t>
      </w:r>
    </w:p>
    <w:p>
      <w:pPr>
        <w:spacing w:after="110" w:line="262"/>
        <w:jc w:val="both"/>
      </w:pPr>
      <w:r>
        <w:rPr>
          <w:rFonts w:ascii="Times New Roman" w:cs="Times New Roman" w:eastAsia="Times New Roman" w:hAnsi="Times New Roman"/>
          <w:b w:val="false"/>
          <w:bCs w:val="false"/>
          <w:i w:val="false"/>
          <w:iCs w:val="false"/>
          <w:sz w:val="20"/>
          <w:szCs w:val="20"/>
        </w:rPr>
        <w:t xml:space="preserve">The recognition problem is not trivial. Sensor placement drifts during wear, individuals differ substantially in gait and posture, and several activity classes produce almost identical signal profiles when the subject is stationary. Most published work responds by proposing an architecture and reporting a headline accuracy on a benchmark. That leaves a question unanswered: how much of the reported accuracy comes from the architecture’s structural assumptions, and how much would any sufficiently large model have achieved?</w:t>
      </w:r>
    </w:p>
    <w:p>
      <w:pPr>
        <w:spacing w:after="110" w:line="262"/>
        <w:jc w:val="both"/>
      </w:pPr>
      <w:r>
        <w:rPr>
          <w:rFonts w:ascii="Times New Roman" w:cs="Times New Roman" w:eastAsia="Times New Roman" w:hAnsi="Times New Roman"/>
          <w:b w:val="false"/>
          <w:bCs w:val="false"/>
          <w:i w:val="false"/>
          <w:iCs w:val="false"/>
          <w:sz w:val="20"/>
          <w:szCs w:val="20"/>
        </w:rPr>
        <w:t xml:space="preserve">This project is built to answer that question rather than to maximise a number. Three architectures from genuinely different families are compared under conditions that hold everything except architecture fixed. The Multi-Layer Perceptron flattens the window and so encodes no temporal or spatial prior; it is the control. The one-dimensional Convolutional Neural Network imposes locality and translation invariance, so a filter that has learned one phase of a gait cycle recognises it anywhere in the window. The Bidirectional LSTM models order-sensitive dependency in both directions across the window. The gap between the baseline and the other two is a measurement of what architectural inductive bias is worth on this task.</w:t>
      </w:r>
    </w:p>
    <w:p>
      <w:pPr>
        <w:spacing w:after="110" w:line="262"/>
        <w:jc w:val="both"/>
      </w:pPr>
      <w:r>
        <w:rPr>
          <w:rFonts w:ascii="Times New Roman" w:cs="Times New Roman" w:eastAsia="Times New Roman" w:hAnsi="Times New Roman"/>
          <w:b w:val="false"/>
          <w:bCs w:val="false"/>
          <w:i w:val="false"/>
          <w:iCs w:val="false"/>
          <w:sz w:val="20"/>
          <w:szCs w:val="20"/>
        </w:rPr>
        <w:t xml:space="preserve">Two methodological commitments shape everything that follows. First, the evaluation is strictly subject-independent and that property is verified from the data files rather than assumed from the documentation. Second, every comparison figure is the mean over five random seeds with a sample standard deviation, because single-run differences of a point or two on this dataset cannot be distinguished from seed noise.</w:t>
      </w:r>
    </w:p>
    <w:p>
      <w:pPr>
        <w:spacing w:after="130" w:before="280"/>
        <w:jc w:val="center"/>
      </w:pPr>
      <w:r>
        <w:rPr>
          <w:rFonts w:ascii="Times New Roman" w:cs="Times New Roman" w:eastAsia="Times New Roman" w:hAnsi="Times New Roman"/>
          <w:b/>
          <w:bCs/>
          <w:smallCaps/>
          <w:sz w:val="22"/>
          <w:szCs w:val="22"/>
        </w:rPr>
        <w:t xml:space="preserve">II. Literature Review</w:t>
      </w:r>
    </w:p>
    <w:p>
      <w:pPr>
        <w:spacing w:after="110" w:line="262"/>
        <w:jc w:val="both"/>
      </w:pPr>
      <w:r>
        <w:rPr>
          <w:rFonts w:ascii="Times New Roman" w:cs="Times New Roman" w:eastAsia="Times New Roman" w:hAnsi="Times New Roman"/>
          <w:b w:val="false"/>
          <w:bCs w:val="false"/>
          <w:i w:val="false"/>
          <w:iCs w:val="false"/>
          <w:sz w:val="20"/>
          <w:szCs w:val="20"/>
        </w:rPr>
        <w:t xml:space="preserve">The dataset used here was introduced by Anguita et al. [1], who recorded 30 volunteers performing six activities of daily living while wearing a waist-mounted Samsung Galaxy S II, and released both the raw inertial signals and a vector of 561 hand-crafted time- and frequency-domain features per window. Their own baseline, a multiclass support vector machine over those features, reached 96% overall accuracy on the held-out test subjects. Their confusion matrix is directly relevant to the present work: sitting had the lowest recall at 88%, and the authors attributed the overlap with standing to the physical placement of the device. The transition-aware extension by Reyes-Ortiz et al. [2] later addressed postural transitions that the original protocol discarded.</w:t>
      </w:r>
    </w:p>
    <w:p>
      <w:pPr>
        <w:spacing w:after="110" w:line="262"/>
        <w:jc w:val="both"/>
      </w:pPr>
      <w:r>
        <w:rPr>
          <w:rFonts w:ascii="Times New Roman" w:cs="Times New Roman" w:eastAsia="Times New Roman" w:hAnsi="Times New Roman"/>
          <w:b w:val="false"/>
          <w:bCs w:val="false"/>
          <w:i w:val="false"/>
          <w:iCs w:val="false"/>
          <w:sz w:val="20"/>
          <w:szCs w:val="20"/>
        </w:rPr>
        <w:t xml:space="preserve">The convolutional strand of the literature begins with the observation that the hand-crafted descriptors can be learned. Zeng et al. [3] applied convolution with partial weight sharing directly to accelerometer signals, and Yang et al. [4] generalised this to multichannel time series with per-sensor temporal convolution and a unification layer, reporting 83.0% to 87.7% accuracy across subjects on OPPORTUNITY and 94.1% to 96.0% on a hand-gesture benchmark. Ronao and Cho [5] showed that a convolutional model on raw smartphone signals can exceed feature-engineered classifiers on the UCI HAR dataset specifically, and Ignatov [6] combined convolutional features with a small set of global statistical descriptors for real-time, user-independent recognition.</w:t>
      </w:r>
    </w:p>
    <w:p>
      <w:pPr>
        <w:spacing w:after="110" w:line="262"/>
        <w:jc w:val="both"/>
      </w:pPr>
      <w:r>
        <w:rPr>
          <w:rFonts w:ascii="Times New Roman" w:cs="Times New Roman" w:eastAsia="Times New Roman" w:hAnsi="Times New Roman"/>
          <w:b w:val="false"/>
          <w:bCs w:val="false"/>
          <w:i w:val="false"/>
          <w:iCs w:val="false"/>
          <w:sz w:val="20"/>
          <w:szCs w:val="20"/>
        </w:rPr>
        <w:t xml:space="preserve">The recurrent strand argues from a different premise, that activity signals are sequences whose order carries information. Murad and Pyun [7] proposed unidirectional, bidirectional and cascaded LSTM deep recurrent networks, reporting that they outperform both deep belief networks and convolutional baselines across five benchmarks, and noting that recurrent models accept variable-length windows where convolutional ones generally do not. Ordóñez and Roggen [8] combined the two strands in DeepConvLSTM, stacking two 128-cell LSTM layers on four 64-map convolutional layers, and found it outperformed an otherwise identical non-recurrent network by approximately 4% on average and prior reported results by up to 9%. That architecture remains the standard reference for sensor-based HAR.</w:t>
      </w:r>
    </w:p>
    <w:p>
      <w:pPr>
        <w:spacing w:after="110" w:line="262"/>
        <w:jc w:val="both"/>
      </w:pPr>
      <w:r>
        <w:rPr>
          <w:rFonts w:ascii="Times New Roman" w:cs="Times New Roman" w:eastAsia="Times New Roman" w:hAnsi="Times New Roman"/>
          <w:b w:val="false"/>
          <w:bCs w:val="false"/>
          <w:i w:val="false"/>
          <w:iCs w:val="false"/>
          <w:sz w:val="20"/>
          <w:szCs w:val="20"/>
        </w:rPr>
        <w:t xml:space="preserve">The single most relevant result for the present comparison is Hammerla et al. [9], who ran a large systematic comparison of deep feed-forward, convolutional and several LSTM variants across OPPORTUNITY, PAMAP2 and Daphnet Gait. Their conclusion is conditional rather than absolute: recurrent networks outperform convolutional ones significantly on activities that are short in duration but have a natural ordering, whereas for prolonged repetitive activities such as walking they recommend convolutional models on grounds of both average performance and ease of tuning. They also identify learning rate as the most critical hyperparameter across all model families. The activities in the UCI HAR dataset are precisely the prolonged repetitive kind, so their finding makes a specific prediction about what this project should observe. The broader survey by Wang et al. [10] situates both strands and confirms that convolutional models dominate the sensor-HAR literature by volume.</w:t>
      </w:r>
    </w:p>
    <w:p>
      <w:pPr>
        <w:spacing w:after="110" w:line="262"/>
        <w:jc w:val="both"/>
      </w:pPr>
      <w:r>
        <w:rPr>
          <w:rFonts w:ascii="Times New Roman" w:cs="Times New Roman" w:eastAsia="Times New Roman" w:hAnsi="Times New Roman"/>
          <w:b w:val="false"/>
          <w:bCs w:val="false"/>
          <w:i w:val="false"/>
          <w:iCs w:val="false"/>
          <w:sz w:val="20"/>
          <w:szCs w:val="20"/>
        </w:rPr>
        <w:t xml:space="preserve">What this body of work does not provide is a controlled measurement of the baseline. Comparisons are typically made between deep architectures, with the classical feature-based classifier as a historical reference point rather than as a model trained on identical inputs under an identical protocol. The present project supplies that control.</w:t>
      </w:r>
    </w:p>
    <w:p>
      <w:pPr>
        <w:spacing w:after="130" w:before="280"/>
        <w:jc w:val="center"/>
      </w:pPr>
      <w:r>
        <w:rPr>
          <w:rFonts w:ascii="Times New Roman" w:cs="Times New Roman" w:eastAsia="Times New Roman" w:hAnsi="Times New Roman"/>
          <w:b/>
          <w:bCs/>
          <w:smallCaps/>
          <w:sz w:val="22"/>
          <w:szCs w:val="22"/>
        </w:rPr>
        <w:t xml:space="preserve">III. Objectives</w:t>
      </w:r>
    </w:p>
    <w:p>
      <w:pPr>
        <w:pStyle w:val="ListParagraph"/>
        <w:numPr>
          <w:ilvl w:val="0"/>
          <w:numId w:val="2"/>
        </w:numPr>
        <w:spacing w:after="70" w:line="262"/>
        <w:jc w:val="both"/>
      </w:pPr>
      <w:r>
        <w:rPr>
          <w:rFonts w:ascii="Times New Roman" w:cs="Times New Roman" w:eastAsia="Times New Roman" w:hAnsi="Times New Roman"/>
          <w:b/>
          <w:bCs/>
          <w:sz w:val="20"/>
          <w:szCs w:val="20"/>
        </w:rPr>
        <w:t xml:space="preserve">Objective 1. </w:t>
      </w:r>
      <w:r>
        <w:rPr>
          <w:rFonts w:ascii="Times New Roman" w:cs="Times New Roman" w:eastAsia="Times New Roman" w:hAnsi="Times New Roman"/>
          <w:sz w:val="20"/>
          <w:szCs w:val="20"/>
        </w:rPr>
        <w:t xml:space="preserve">To establish and empirically verify a subject-independent evaluation protocol for six-class human activity recognition from raw smartphone inertial signals, under which no volunteer appears in more than one data partition.</w:t>
      </w:r>
    </w:p>
    <w:p>
      <w:pPr>
        <w:pStyle w:val="ListParagraph"/>
        <w:numPr>
          <w:ilvl w:val="0"/>
          <w:numId w:val="2"/>
        </w:numPr>
        <w:spacing w:after="70" w:line="262"/>
        <w:jc w:val="both"/>
      </w:pPr>
      <w:r>
        <w:rPr>
          <w:rFonts w:ascii="Times New Roman" w:cs="Times New Roman" w:eastAsia="Times New Roman" w:hAnsi="Times New Roman"/>
          <w:b/>
          <w:bCs/>
          <w:sz w:val="20"/>
          <w:szCs w:val="20"/>
        </w:rPr>
        <w:t xml:space="preserve">Objective 2. </w:t>
      </w:r>
      <w:r>
        <w:rPr>
          <w:rFonts w:ascii="Times New Roman" w:cs="Times New Roman" w:eastAsia="Times New Roman" w:hAnsi="Times New Roman"/>
          <w:sz w:val="20"/>
          <w:szCs w:val="20"/>
        </w:rPr>
        <w:t xml:space="preserve">To quantify the comparative performance of three deep learning architecture families, fully connected, convolutional and recurrent, on a common input representation and a common metric set, with multi-seed variance reported so that differences can be distinguished from noise.</w:t>
      </w:r>
    </w:p>
    <w:p>
      <w:pPr>
        <w:pStyle w:val="ListParagraph"/>
        <w:numPr>
          <w:ilvl w:val="0"/>
          <w:numId w:val="2"/>
        </w:numPr>
        <w:spacing w:after="70" w:line="262"/>
        <w:jc w:val="both"/>
      </w:pPr>
      <w:r>
        <w:rPr>
          <w:rFonts w:ascii="Times New Roman" w:cs="Times New Roman" w:eastAsia="Times New Roman" w:hAnsi="Times New Roman"/>
          <w:b/>
          <w:bCs/>
          <w:sz w:val="20"/>
          <w:szCs w:val="20"/>
        </w:rPr>
        <w:t xml:space="preserve">Objective 3. </w:t>
      </w:r>
      <w:r>
        <w:rPr>
          <w:rFonts w:ascii="Times New Roman" w:cs="Times New Roman" w:eastAsia="Times New Roman" w:hAnsi="Times New Roman"/>
          <w:sz w:val="20"/>
          <w:szCs w:val="20"/>
        </w:rPr>
        <w:t xml:space="preserve">To explain the observed performance differences in terms of architectural inductive bias rather than model capacity, supported by an ablation, per-class F1 and confusion analysis of the dynamic and static activity groups.</w:t>
      </w:r>
    </w:p>
    <w:p>
      <w:pPr>
        <w:spacing w:after="130" w:before="280"/>
        <w:jc w:val="center"/>
      </w:pPr>
      <w:r>
        <w:rPr>
          <w:rFonts w:ascii="Times New Roman" w:cs="Times New Roman" w:eastAsia="Times New Roman" w:hAnsi="Times New Roman"/>
          <w:b/>
          <w:bCs/>
          <w:smallCaps/>
          <w:sz w:val="22"/>
          <w:szCs w:val="22"/>
        </w:rPr>
        <w:t xml:space="preserve">IV. Methodology</w:t>
      </w:r>
    </w:p>
    <w:p>
      <w:pPr>
        <w:spacing w:after="110" w:line="262"/>
        <w:jc w:val="both"/>
      </w:pPr>
      <w:r>
        <w:rPr>
          <w:rFonts w:ascii="Times New Roman" w:cs="Times New Roman" w:eastAsia="Times New Roman" w:hAnsi="Times New Roman"/>
          <w:b w:val="false"/>
          <w:bCs w:val="false"/>
          <w:i w:val="false"/>
          <w:iCs w:val="false"/>
          <w:sz w:val="20"/>
          <w:szCs w:val="20"/>
        </w:rPr>
        <w:t xml:space="preserve">All three models consume the same input tensor, are constructed through the same shared module, train through the same loop and are scored by the same evaluation harness. The sections below describe each architecture and the reasoning behind its inclusion; the protocol they share is described in Section V.</w:t>
      </w:r>
    </w:p>
    <w:p>
      <w:pPr>
        <w:spacing w:after="90" w:before="190"/>
        <w:jc w:val="left"/>
      </w:pPr>
      <w:r>
        <w:rPr>
          <w:rFonts w:ascii="Times New Roman" w:cs="Times New Roman" w:eastAsia="Times New Roman" w:hAnsi="Times New Roman"/>
          <w:i/>
          <w:iCs/>
          <w:sz w:val="20"/>
          <w:szCs w:val="20"/>
        </w:rPr>
        <w:t xml:space="preserve">A. Model 1: Multi-Layer Perceptron Baseline</w:t>
      </w:r>
    </w:p>
    <w:p>
      <w:pPr>
        <w:spacing w:after="110" w:line="262"/>
        <w:jc w:val="both"/>
      </w:pPr>
      <w:r>
        <w:rPr>
          <w:rFonts w:ascii="Times New Roman" w:cs="Times New Roman" w:eastAsia="Times New Roman" w:hAnsi="Times New Roman"/>
          <w:b w:val="false"/>
          <w:bCs w:val="false"/>
          <w:i w:val="false"/>
          <w:iCs w:val="false"/>
          <w:sz w:val="20"/>
          <w:szCs w:val="20"/>
        </w:rPr>
        <w:t xml:space="preserve">The 128 x 9 window is flattened to a 1,152-dimensional vector and passed through two hidden layers of 256 and 128 units. Each hidden layer applies a linear map, batch normalisation [11], a ReLU activation and dropout at p = 0.3, in that order; a final linear layer produces six logits. No softmax is applied in the model, because the cross-entropy loss applies log-softmax internally. The model has 329,606 trainable parameters, the largest count of the three despite being the structurally simplest, because flattening produces a very wide first layer.</w:t>
      </w:r>
    </w:p>
    <w:p>
      <w:pPr>
        <w:spacing w:after="110" w:line="262"/>
        <w:jc w:val="both"/>
      </w:pPr>
      <w:r>
        <w:rPr>
          <w:rFonts w:ascii="Times New Roman" w:cs="Times New Roman" w:eastAsia="Times New Roman" w:hAnsi="Times New Roman"/>
          <w:b w:val="false"/>
          <w:bCs w:val="false"/>
          <w:i w:val="false"/>
          <w:iCs w:val="false"/>
          <w:sz w:val="20"/>
          <w:szCs w:val="20"/>
        </w:rPr>
        <w:t xml:space="preserve">Batch normalisation is load-bearing here rather than decorative. The 1,152 inputs span three signal types with different physical units and magnitudes, and without normalisation the first layer’s gradients are dominated by the few largest-magnitude channels.</w:t>
      </w:r>
    </w:p>
    <w:p>
      <w:pPr>
        <w:spacing w:after="110" w:line="262"/>
        <w:jc w:val="both"/>
      </w:pPr>
      <w:r>
        <w:rPr>
          <w:rFonts w:ascii="Times New Roman" w:cs="Times New Roman" w:eastAsia="Times New Roman" w:hAnsi="Times New Roman"/>
          <w:b w:val="false"/>
          <w:bCs w:val="false"/>
          <w:i w:val="false"/>
          <w:iCs w:val="false"/>
          <w:sz w:val="20"/>
          <w:szCs w:val="20"/>
        </w:rPr>
        <w:t xml:space="preserve">This model is included as the control. It is permutation-invariant with respect to the time axis in the sense that matters: shuffle the 128 timesteps consistently before training and its achievable accuracy is unchanged, because it never treated time as an axis. The convolutional and recurrent models would both degrade sharply under the same transformation. Any accuracy this model reaches is therefore attainable without any assumption about the structure of the signal, and the gap above it is the measured value of such assumptions.</w:t>
      </w:r>
    </w:p>
    <w:p>
      <w:pPr>
        <w:spacing w:after="110" w:line="262"/>
        <w:jc w:val="both"/>
      </w:pPr>
      <w:r>
        <w:rPr>
          <w:rFonts w:ascii="Times New Roman" w:cs="Times New Roman" w:eastAsia="Times New Roman" w:hAnsi="Times New Roman"/>
          <w:b w:val="false"/>
          <w:bCs w:val="false"/>
          <w:i w:val="false"/>
          <w:iCs w:val="false"/>
          <w:sz w:val="20"/>
          <w:szCs w:val="20"/>
        </w:rPr>
        <w:t xml:space="preserve">A second experiment trains the identical architecture on the dataset’s 561 hand-crafted features, changing only the input dimension from 1,152 to 561 and holding the optimiser settings, subjects and seeds fixed. Because architecture is constant across that pair, the difference isolates the contribution of the engineered representation. This is the only place in the project where representation varies while architecture does not, and it is reported separately from the architecture comparison in Section VI.</w:t>
      </w:r>
    </w:p>
    <w:p>
      <w:pPr>
        <w:spacing w:after="90" w:before="190"/>
        <w:jc w:val="left"/>
      </w:pPr>
      <w:r>
        <w:rPr>
          <w:rFonts w:ascii="Times New Roman" w:cs="Times New Roman" w:eastAsia="Times New Roman" w:hAnsi="Times New Roman"/>
          <w:i/>
          <w:iCs/>
          <w:sz w:val="20"/>
          <w:szCs w:val="20"/>
        </w:rPr>
        <w:t xml:space="preserve">B. Model 2: One-Dimensional Convolutional Neural Network</w:t>
      </w:r>
    </w:p>
    <w:p>
      <w:pPr>
        <w:spacing w:after="110" w:line="262"/>
        <w:jc w:val="both"/>
      </w:pPr>
      <w:r>
        <w:rPr>
          <w:rFonts w:ascii="Times New Roman" w:cs="Times New Roman" w:eastAsia="Times New Roman" w:hAnsi="Times New Roman"/>
          <w:b w:val="false"/>
          <w:bCs w:val="false"/>
          <w:i w:val="false"/>
          <w:iCs w:val="false"/>
          <w:sz w:val="20"/>
          <w:szCs w:val="20"/>
        </w:rPr>
        <w:t xml:space="preserve">Three stacked convolutional blocks operate on the window in channels-first layout, (N, 9, 128). Each block applies a 1D convolution, batch normalisation, ReLU and max-pooling with stride 2; the blocks use 64, 128 and 128 filters with kernel sizes of 7, 5 and 5 respectively, with padding set to half the kernel size so that only the pooling step changes sequence length. After three blocks the time axis has been reduced from 128 to 16, and global average pooling then collapses it entirely, so the dense classification head sees a fixed 128-dimensional vector regardless of window length. A dropout layer at p = 0.3 precedes the final linear map. The model has 128,646 parameters, 2.6 times fewer than the baseline.</w:t>
      </w:r>
    </w:p>
    <w:p>
      <w:pPr>
        <w:spacing w:after="110" w:line="262"/>
        <w:jc w:val="both"/>
      </w:pPr>
      <w:r>
        <w:rPr>
          <w:rFonts w:ascii="Times New Roman" w:cs="Times New Roman" w:eastAsia="Times New Roman" w:hAnsi="Times New Roman"/>
          <w:b w:val="false"/>
          <w:bCs w:val="false"/>
          <w:i w:val="false"/>
          <w:iCs w:val="false"/>
          <w:sz w:val="20"/>
          <w:szCs w:val="20"/>
        </w:rPr>
        <w:t xml:space="preserve">The convolutional structure encodes two assumptions: locality, that what matters in an inertial signal occurs within a short span of timesteps, and translation invariance, that a motion motif means the same thing wherever in the window it appears. For a repeating gait cycle sampled at 50 Hz in a 2.56-second window, both assumptions are well matched to the data. Global average pooling rather than flattening is what makes the translation invariance survive into the classifier.</w:t>
      </w:r>
    </w:p>
    <w:p>
      <w:pPr>
        <w:spacing w:after="90" w:before="190"/>
        <w:jc w:val="left"/>
      </w:pPr>
      <w:r>
        <w:rPr>
          <w:rFonts w:ascii="Times New Roman" w:cs="Times New Roman" w:eastAsia="Times New Roman" w:hAnsi="Times New Roman"/>
          <w:i/>
          <w:iCs/>
          <w:sz w:val="20"/>
          <w:szCs w:val="20"/>
        </w:rPr>
        <w:t xml:space="preserve">C. Model 3: Bidirectional LSTM</w:t>
      </w:r>
    </w:p>
    <w:p>
      <w:pPr>
        <w:spacing w:after="110" w:line="262"/>
        <w:jc w:val="both"/>
      </w:pPr>
      <w:r>
        <w:rPr>
          <w:rFonts w:ascii="Times New Roman" w:cs="Times New Roman" w:eastAsia="Times New Roman" w:hAnsi="Times New Roman"/>
          <w:b w:val="false"/>
          <w:bCs w:val="false"/>
          <w:i w:val="false"/>
          <w:iCs w:val="false"/>
          <w:sz w:val="20"/>
          <w:szCs w:val="20"/>
        </w:rPr>
        <w:t xml:space="preserve">Two stacked bidirectional LSTM layers [12] with 96 hidden units per direction process the window in (N, 128, 9) layout with batch-first ordering, with dropout at p = 0.3 between layers. The outputs are mean-pooled over the 128 timesteps rather than taking the final hidden state, so that evidence from the whole window contributes equally, and a dense head maps the resulting 192-dimensional vector to six logits. The model has 306,054 parameters.</w:t>
      </w:r>
    </w:p>
    <w:p>
      <w:pPr>
        <w:spacing w:after="110" w:line="262"/>
        <w:jc w:val="both"/>
      </w:pPr>
      <w:r>
        <w:rPr>
          <w:rFonts w:ascii="Times New Roman" w:cs="Times New Roman" w:eastAsia="Times New Roman" w:hAnsi="Times New Roman"/>
          <w:b w:val="false"/>
          <w:bCs w:val="false"/>
          <w:i w:val="false"/>
          <w:iCs w:val="false"/>
          <w:sz w:val="20"/>
          <w:szCs w:val="20"/>
        </w:rPr>
        <w:t xml:space="preserve">This model encodes the strongest assumption of the three: that the order of observations carries information, and that context from both earlier and later in the window is relevant to classifying any point within it. On tasks composed of short gestures with a natural beginning and end, that assumption pays [7], [9]. Whether it pays on prolonged repetitive locomotion is exactly what this comparison tests.</w:t>
      </w:r>
    </w:p>
    <w:p>
      <w:pPr>
        <w:spacing w:after="130" w:before="280"/>
        <w:jc w:val="center"/>
      </w:pPr>
      <w:r>
        <w:rPr>
          <w:rFonts w:ascii="Times New Roman" w:cs="Times New Roman" w:eastAsia="Times New Roman" w:hAnsi="Times New Roman"/>
          <w:b/>
          <w:bCs/>
          <w:smallCaps/>
          <w:sz w:val="22"/>
          <w:szCs w:val="22"/>
        </w:rPr>
        <w:t xml:space="preserve">V. Experimental Setup</w:t>
      </w:r>
    </w:p>
    <w:p>
      <w:pPr>
        <w:spacing w:after="90" w:before="190"/>
        <w:jc w:val="left"/>
      </w:pPr>
      <w:r>
        <w:rPr>
          <w:rFonts w:ascii="Times New Roman" w:cs="Times New Roman" w:eastAsia="Times New Roman" w:hAnsi="Times New Roman"/>
          <w:i/>
          <w:iCs/>
          <w:sz w:val="20"/>
          <w:szCs w:val="20"/>
        </w:rPr>
        <w:t xml:space="preserve">A. Dataset</w:t>
      </w:r>
    </w:p>
    <w:p>
      <w:pPr>
        <w:spacing w:after="110" w:line="262"/>
        <w:jc w:val="both"/>
      </w:pPr>
      <w:r>
        <w:rPr>
          <w:rFonts w:ascii="Times New Roman" w:cs="Times New Roman" w:eastAsia="Times New Roman" w:hAnsi="Times New Roman"/>
          <w:b w:val="false"/>
          <w:bCs w:val="false"/>
          <w:i w:val="false"/>
          <w:iCs w:val="false"/>
          <w:sz w:val="20"/>
          <w:szCs w:val="20"/>
        </w:rPr>
        <w:t xml:space="preserve">The UCI Human Activity Recognition Using Smartphones dataset [1] was obtained in its full distribution from the UCI Machine Learning Repository under a CC BY 4.0 licence, including the raw Inertial Signals directory. The widely circulated CSV mirrors were deliberately avoided because they contain only the 561 pre-computed features and omit the raw windows that the convolutional and recurrent models require.</w:t>
      </w:r>
    </w:p>
    <w:p>
      <w:pPr>
        <w:spacing w:after="110" w:line="262"/>
        <w:jc w:val="both"/>
      </w:pPr>
      <w:r>
        <w:rPr>
          <w:rFonts w:ascii="Times New Roman" w:cs="Times New Roman" w:eastAsia="Times New Roman" w:hAnsi="Times New Roman"/>
          <w:b w:val="false"/>
          <w:bCs w:val="false"/>
          <w:i w:val="false"/>
          <w:iCs w:val="false"/>
          <w:sz w:val="20"/>
          <w:szCs w:val="20"/>
        </w:rPr>
        <w:t xml:space="preserve">The data comprise 10,299 labelled windows from 30 volunteers aged 19 to 48, each wearing a waist-mounted Samsung Galaxy S II recording tri-axial linear acceleration and angular velocity at 50 Hz. Signals are supplied pre-windowed into 2.56-second segments with 50% overlap, giving 128 timesteps across 9 channels: body acceleration, body gyroscope and total acceleration, in x, y and z. Six classes are labelled: walking, walking upstairs, walking downstairs, sitting, standing and laying.</w:t>
      </w:r>
    </w:p>
    <w:p>
      <w:pPr>
        <w:spacing w:after="90" w:before="190"/>
        <w:jc w:val="left"/>
      </w:pPr>
      <w:r>
        <w:rPr>
          <w:rFonts w:ascii="Times New Roman" w:cs="Times New Roman" w:eastAsia="Times New Roman" w:hAnsi="Times New Roman"/>
          <w:i/>
          <w:iCs/>
          <w:sz w:val="20"/>
          <w:szCs w:val="20"/>
        </w:rPr>
        <w:t xml:space="preserve">B. Preprocessing and the Subject-Independent Protocol</w:t>
      </w:r>
    </w:p>
    <w:p>
      <w:pPr>
        <w:spacing w:after="110" w:line="262"/>
        <w:jc w:val="both"/>
      </w:pPr>
      <w:r>
        <w:rPr>
          <w:rFonts w:ascii="Times New Roman" w:cs="Times New Roman" w:eastAsia="Times New Roman" w:hAnsi="Times New Roman"/>
          <w:b w:val="false"/>
          <w:bCs w:val="false"/>
          <w:i w:val="false"/>
          <w:iCs w:val="false"/>
          <w:sz w:val="20"/>
          <w:szCs w:val="20"/>
        </w:rPr>
        <w:t xml:space="preserve">The nine Inertial Signals files are stacked along the channel axis into a single (N, 128, 9) float32 tensor in a fixed channel order identical for every model, and raw labels 1 to 6 are shifted to 0 to 5 for use with the cross-entropy loss.</w:t>
      </w:r>
    </w:p>
    <w:p>
      <w:pPr>
        <w:spacing w:after="110" w:line="262"/>
        <w:jc w:val="both"/>
      </w:pPr>
      <w:r>
        <w:rPr>
          <w:rFonts w:ascii="Times New Roman" w:cs="Times New Roman" w:eastAsia="Times New Roman" w:hAnsi="Times New Roman"/>
          <w:b w:val="false"/>
          <w:bCs w:val="false"/>
          <w:i w:val="false"/>
          <w:iCs w:val="false"/>
          <w:sz w:val="20"/>
          <w:szCs w:val="20"/>
        </w:rPr>
        <w:t xml:space="preserve">The official UCI partition separates volunteers rather than windows: 21 subjects providing 7,352 windows for training and 9 subjects providing 2,947 for test. This property was verified empirically rather than taken from the documentation, by intersecting the subject identifier files and confirming the intersection is empty. The verification matters because the dataset is generated with 50% overlap between consecutive windows, so a random window-level split would place near-duplicate windows in both partitions and inflate every reported figure. A command-line check committed to the repository reports the subject counts, the class balance and three leakage guards.</w:t>
      </w:r>
    </w:p>
    <w:p>
      <w:pPr>
        <w:spacing w:after="110" w:line="262"/>
        <w:jc w:val="both"/>
      </w:pPr>
      <w:r>
        <w:rPr>
          <w:rFonts w:ascii="Times New Roman" w:cs="Times New Roman" w:eastAsia="Times New Roman" w:hAnsi="Times New Roman"/>
          <w:b w:val="false"/>
          <w:bCs w:val="false"/>
          <w:i w:val="false"/>
          <w:iCs w:val="false"/>
          <w:sz w:val="20"/>
          <w:szCs w:val="20"/>
        </w:rPr>
        <w:t xml:space="preserve">Four subjects, with identifiers 8, 16, 23 and 29, are held out from the 21 training subjects to form the validation set used for early stopping. These identifiers are fixed in code so that all three models train on byte-identical data. Per-channel standardisation to zero mean and unit variance is fitted on the remaining 17 training subjects alone, pooling over both windows and timesteps, and applied unchanged to validation and test. No validation or test statistic reaches training. No data augmentation is applied: the dataset is already windowed with overlap and the class balance is close to uniform.</w:t>
      </w:r>
    </w:p>
    <w:p>
      <w:pPr>
        <w:spacing w:after="90" w:before="190"/>
        <w:jc w:val="left"/>
      </w:pPr>
      <w:r>
        <w:rPr>
          <w:rFonts w:ascii="Times New Roman" w:cs="Times New Roman" w:eastAsia="Times New Roman" w:hAnsi="Times New Roman"/>
          <w:i/>
          <w:iCs/>
          <w:sz w:val="20"/>
          <w:szCs w:val="20"/>
        </w:rPr>
        <w:t xml:space="preserve">C. Training Protocol</w:t>
      </w:r>
    </w:p>
    <w:p>
      <w:pPr>
        <w:spacing w:after="110" w:line="262"/>
        <w:jc w:val="both"/>
      </w:pPr>
      <w:r>
        <w:rPr>
          <w:rFonts w:ascii="Times New Roman" w:cs="Times New Roman" w:eastAsia="Times New Roman" w:hAnsi="Times New Roman"/>
          <w:b w:val="false"/>
          <w:bCs w:val="false"/>
          <w:i w:val="false"/>
          <w:iCs w:val="false"/>
          <w:sz w:val="20"/>
          <w:szCs w:val="20"/>
        </w:rPr>
        <w:t xml:space="preserve">Every model is trained with Adam [13] and categorical cross-entropy, with early stopping on subject-held-out validation loss and the best-epoch weights restored before evaluation. Learning rates were tuned per model on validation loss alone: 1e-3 for the MLP and BiLSTM, 3e-4 for the 1D-CNN, which overfit immediately at the higher rate. Weight decay is 1e-4 for the MLP and CNN and 0 for the BiLSTM. Patience is 15 epochs for the MLP and CNN and 10 for the BiLSTM, with a cap of 100 epochs and a batch size of 128.</w:t>
      </w:r>
    </w:p>
    <w:p>
      <w:pPr>
        <w:spacing w:after="110" w:line="262"/>
        <w:jc w:val="both"/>
      </w:pPr>
      <w:r>
        <w:rPr>
          <w:rFonts w:ascii="Times New Roman" w:cs="Times New Roman" w:eastAsia="Times New Roman" w:hAnsi="Times New Roman"/>
          <w:b w:val="false"/>
          <w:bCs w:val="false"/>
          <w:i w:val="false"/>
          <w:iCs w:val="false"/>
          <w:sz w:val="20"/>
          <w:szCs w:val="20"/>
        </w:rPr>
        <w:t xml:space="preserve">Each model is trained at five seeds, 42 through 46, with the validation subjects held fixed so that only weight initialisation and batch ordering vary. All reported figures are the mean over those runs with a sample standard deviation. Determinism is enforced through seeded random number generators and deterministic cuDNN settings.</w:t>
      </w:r>
    </w:p>
    <w:p>
      <w:pPr>
        <w:spacing w:after="90" w:before="190"/>
        <w:jc w:val="left"/>
      </w:pPr>
      <w:r>
        <w:rPr>
          <w:rFonts w:ascii="Times New Roman" w:cs="Times New Roman" w:eastAsia="Times New Roman" w:hAnsi="Times New Roman"/>
          <w:i/>
          <w:iCs/>
          <w:sz w:val="20"/>
          <w:szCs w:val="20"/>
        </w:rPr>
        <w:t xml:space="preserve">D. Metrics</w:t>
      </w:r>
    </w:p>
    <w:p>
      <w:pPr>
        <w:spacing w:after="110" w:line="262"/>
        <w:jc w:val="both"/>
      </w:pPr>
      <w:r>
        <w:rPr>
          <w:rFonts w:ascii="Times New Roman" w:cs="Times New Roman" w:eastAsia="Times New Roman" w:hAnsi="Times New Roman"/>
          <w:b w:val="false"/>
          <w:bCs w:val="false"/>
          <w:i w:val="false"/>
          <w:iCs w:val="false"/>
          <w:sz w:val="20"/>
          <w:szCs w:val="20"/>
        </w:rPr>
        <w:t xml:space="preserve">Accuracy, macro-averaged precision, recall and F1, per-class F1, and the confusion matrix, all computed by one shared function so that every model is scored identically. Parameter count and wall-clock training time are recorded alongside. Two specific confusion rates are tracked separately throughout, the proportion of sitting windows predicted as standing and the converse, because they dominate the error in every model.</w:t>
      </w:r>
    </w:p>
    <w:p>
      <w:pPr>
        <w:spacing w:after="130" w:before="280"/>
        <w:jc w:val="center"/>
      </w:pPr>
      <w:r>
        <w:rPr>
          <w:rFonts w:ascii="Times New Roman" w:cs="Times New Roman" w:eastAsia="Times New Roman" w:hAnsi="Times New Roman"/>
          <w:b/>
          <w:bCs/>
          <w:smallCaps/>
          <w:sz w:val="22"/>
          <w:szCs w:val="22"/>
        </w:rPr>
        <w:t xml:space="preserve">VI. Results and Discussion</w:t>
      </w:r>
    </w:p>
    <w:p>
      <w:pPr>
        <w:spacing w:after="90" w:before="190"/>
        <w:jc w:val="left"/>
      </w:pPr>
      <w:r>
        <w:rPr>
          <w:rFonts w:ascii="Times New Roman" w:cs="Times New Roman" w:eastAsia="Times New Roman" w:hAnsi="Times New Roman"/>
          <w:i/>
          <w:iCs/>
          <w:sz w:val="20"/>
          <w:szCs w:val="20"/>
        </w:rPr>
        <w:t xml:space="preserve">A. Architecture Comparison</w:t>
      </w:r>
    </w:p>
    <w:p>
      <w:pPr>
        <w:spacing w:after="80" w:before="170"/>
        <w:jc w:val="center"/>
      </w:pPr>
      <w:r>
        <w:rPr>
          <w:rFonts w:ascii="Times New Roman" w:cs="Times New Roman" w:eastAsia="Times New Roman" w:hAnsi="Times New Roman"/>
          <w:smallCaps/>
          <w:sz w:val="16"/>
          <w:szCs w:val="16"/>
        </w:rPr>
        <w:t xml:space="preserve">Table I. Architecture comparison on the raw 128 x 9 input (5 seeds, mean ± sample std, 9 unseen test subjects)</w:t>
      </w:r>
    </w:p>
    <w:tbl>
      <w:tblPr>
        <w:tblW w:type="dxa" w:w="9746"/>
        <w:tblBorders>
          <w:top w:val="single" w:color="000000" w:sz="4"/>
          <w:left w:val="single" w:color="000000" w:sz="4"/>
          <w:bottom w:val="single" w:color="000000" w:sz="4"/>
          <w:right w:val="single" w:color="000000" w:sz="4"/>
          <w:insideH w:val="single" w:color="808080" w:sz="2"/>
          <w:insideV w:val="single" w:color="808080" w:sz="2"/>
        </w:tblBorders>
      </w:tblPr>
      <w:tblGrid>
        <w:gridCol w:w="2100"/>
        <w:gridCol w:w="1250"/>
        <w:gridCol w:w="1700"/>
        <w:gridCol w:w="1700"/>
        <w:gridCol w:w="1300"/>
        <w:gridCol w:w="1696"/>
      </w:tblGrid>
      <w:tr>
        <w:trPr>
          <w:tblHeader/>
        </w:trPr>
        <w:tc>
          <w:tcPr>
            <w:tcW w:type="dxa" w:w="2100"/>
            <w:shd w:fill="D9D9D9" w:color="auto" w:val="clear"/>
            <w:tcMar>
              <w:top w:type="dxa" w:w="50"/>
              <w:left w:type="dxa" w:w="85"/>
              <w:bottom w:type="dxa" w:w="50"/>
              <w:right w:type="dxa" w:w="85"/>
            </w:tcMar>
          </w:tcPr>
          <w:p>
            <w:pPr>
              <w:spacing w:after="0" w:line="235"/>
              <w:jc w:val="left"/>
            </w:pPr>
            <w:r>
              <w:rPr>
                <w:rFonts w:ascii="Times New Roman" w:cs="Times New Roman" w:eastAsia="Times New Roman" w:hAnsi="Times New Roman"/>
                <w:b/>
                <w:bCs/>
                <w:i w:val="false"/>
                <w:iCs w:val="false"/>
                <w:sz w:val="16"/>
                <w:szCs w:val="16"/>
              </w:rPr>
              <w:t xml:space="preserve">Model</w:t>
            </w:r>
          </w:p>
        </w:tc>
        <w:tc>
          <w:tcPr>
            <w:tcW w:type="dxa" w:w="1250"/>
            <w:shd w:fill="D9D9D9" w:color="auto" w:val="clear"/>
            <w:tcMar>
              <w:top w:type="dxa" w:w="50"/>
              <w:left w:type="dxa" w:w="85"/>
              <w:bottom w:type="dxa" w:w="50"/>
              <w:right w:type="dxa" w:w="85"/>
            </w:tcMar>
          </w:tcPr>
          <w:p>
            <w:pPr>
              <w:spacing w:after="0" w:line="235"/>
              <w:jc w:val="center"/>
            </w:pPr>
            <w:r>
              <w:rPr>
                <w:rFonts w:ascii="Times New Roman" w:cs="Times New Roman" w:eastAsia="Times New Roman" w:hAnsi="Times New Roman"/>
                <w:b/>
                <w:bCs/>
                <w:i w:val="false"/>
                <w:iCs w:val="false"/>
                <w:sz w:val="16"/>
                <w:szCs w:val="16"/>
              </w:rPr>
              <w:t xml:space="preserve">Parameters</w:t>
            </w:r>
          </w:p>
        </w:tc>
        <w:tc>
          <w:tcPr>
            <w:tcW w:type="dxa" w:w="1700"/>
            <w:shd w:fill="D9D9D9" w:color="auto" w:val="clear"/>
            <w:tcMar>
              <w:top w:type="dxa" w:w="50"/>
              <w:left w:type="dxa" w:w="85"/>
              <w:bottom w:type="dxa" w:w="50"/>
              <w:right w:type="dxa" w:w="85"/>
            </w:tcMar>
          </w:tcPr>
          <w:p>
            <w:pPr>
              <w:spacing w:after="0" w:line="235"/>
              <w:jc w:val="center"/>
            </w:pPr>
            <w:r>
              <w:rPr>
                <w:rFonts w:ascii="Times New Roman" w:cs="Times New Roman" w:eastAsia="Times New Roman" w:hAnsi="Times New Roman"/>
                <w:b/>
                <w:bCs/>
                <w:i w:val="false"/>
                <w:iCs w:val="false"/>
                <w:sz w:val="16"/>
                <w:szCs w:val="16"/>
              </w:rPr>
              <w:t xml:space="preserve">Test accuracy</w:t>
            </w:r>
          </w:p>
        </w:tc>
        <w:tc>
          <w:tcPr>
            <w:tcW w:type="dxa" w:w="1700"/>
            <w:shd w:fill="D9D9D9" w:color="auto" w:val="clear"/>
            <w:tcMar>
              <w:top w:type="dxa" w:w="50"/>
              <w:left w:type="dxa" w:w="85"/>
              <w:bottom w:type="dxa" w:w="50"/>
              <w:right w:type="dxa" w:w="85"/>
            </w:tcMar>
          </w:tcPr>
          <w:p>
            <w:pPr>
              <w:spacing w:after="0" w:line="235"/>
              <w:jc w:val="center"/>
            </w:pPr>
            <w:r>
              <w:rPr>
                <w:rFonts w:ascii="Times New Roman" w:cs="Times New Roman" w:eastAsia="Times New Roman" w:hAnsi="Times New Roman"/>
                <w:b/>
                <w:bCs/>
                <w:i w:val="false"/>
                <w:iCs w:val="false"/>
                <w:sz w:val="16"/>
                <w:szCs w:val="16"/>
              </w:rPr>
              <w:t xml:space="preserve">Macro-F1</w:t>
            </w:r>
          </w:p>
        </w:tc>
        <w:tc>
          <w:tcPr>
            <w:tcW w:type="dxa" w:w="1300"/>
            <w:shd w:fill="D9D9D9" w:color="auto" w:val="clear"/>
            <w:tcMar>
              <w:top w:type="dxa" w:w="50"/>
              <w:left w:type="dxa" w:w="85"/>
              <w:bottom w:type="dxa" w:w="50"/>
              <w:right w:type="dxa" w:w="85"/>
            </w:tcMar>
          </w:tcPr>
          <w:p>
            <w:pPr>
              <w:spacing w:after="0" w:line="235"/>
              <w:jc w:val="center"/>
            </w:pPr>
            <w:r>
              <w:rPr>
                <w:rFonts w:ascii="Times New Roman" w:cs="Times New Roman" w:eastAsia="Times New Roman" w:hAnsi="Times New Roman"/>
                <w:b/>
                <w:bCs/>
                <w:i w:val="false"/>
                <w:iCs w:val="false"/>
                <w:sz w:val="16"/>
                <w:szCs w:val="16"/>
              </w:rPr>
              <w:t xml:space="preserve">Best epoch</w:t>
            </w:r>
          </w:p>
        </w:tc>
        <w:tc>
          <w:tcPr>
            <w:tcW w:type="dxa" w:w="1696"/>
            <w:shd w:fill="D9D9D9" w:color="auto" w:val="clear"/>
            <w:tcMar>
              <w:top w:type="dxa" w:w="50"/>
              <w:left w:type="dxa" w:w="85"/>
              <w:bottom w:type="dxa" w:w="50"/>
              <w:right w:type="dxa" w:w="85"/>
            </w:tcMar>
          </w:tcPr>
          <w:p>
            <w:pPr>
              <w:spacing w:after="0" w:line="235"/>
              <w:jc w:val="left"/>
            </w:pPr>
            <w:r>
              <w:rPr>
                <w:rFonts w:ascii="Times New Roman" w:cs="Times New Roman" w:eastAsia="Times New Roman" w:hAnsi="Times New Roman"/>
                <w:b/>
                <w:bCs/>
                <w:i w:val="false"/>
                <w:iCs w:val="false"/>
                <w:sz w:val="16"/>
                <w:szCs w:val="16"/>
              </w:rPr>
              <w:t xml:space="preserve">Family</w:t>
            </w:r>
          </w:p>
        </w:tc>
      </w:tr>
      <w:tr>
        <w:trPr>
          <w:cantSplit/>
        </w:trPr>
        <w:tc>
          <w:tcPr>
            <w:tcW w:type="dxa" w:w="2100"/>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MLP (raw signals)</w:t>
            </w:r>
          </w:p>
        </w:tc>
        <w:tc>
          <w:tcPr>
            <w:tcW w:type="dxa" w:w="125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329,606</w:t>
            </w:r>
          </w:p>
        </w:tc>
        <w:tc>
          <w:tcPr>
            <w:tcW w:type="dxa" w:w="17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0.8925 ± 0.0087</w:t>
            </w:r>
          </w:p>
        </w:tc>
        <w:tc>
          <w:tcPr>
            <w:tcW w:type="dxa" w:w="17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0.8930 ± 0.0084</w:t>
            </w:r>
          </w:p>
        </w:tc>
        <w:tc>
          <w:tcPr>
            <w:tcW w:type="dxa" w:w="13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5.2</w:t>
            </w:r>
          </w:p>
        </w:tc>
        <w:tc>
          <w:tcPr>
            <w:tcW w:type="dxa" w:w="1696"/>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Fully connected</w:t>
            </w:r>
          </w:p>
        </w:tc>
      </w:tr>
      <w:tr>
        <w:trPr>
          <w:cantSplit/>
        </w:trPr>
        <w:tc>
          <w:tcPr>
            <w:tcW w:type="dxa" w:w="2100"/>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1D-CNN</w:t>
            </w:r>
          </w:p>
        </w:tc>
        <w:tc>
          <w:tcPr>
            <w:tcW w:type="dxa" w:w="125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128,646</w:t>
            </w:r>
          </w:p>
        </w:tc>
        <w:tc>
          <w:tcPr>
            <w:tcW w:type="dxa" w:w="17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0.9211 ± 0.0065</w:t>
            </w:r>
          </w:p>
        </w:tc>
        <w:tc>
          <w:tcPr>
            <w:tcW w:type="dxa" w:w="17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0.9212 ± 0.0065</w:t>
            </w:r>
          </w:p>
        </w:tc>
        <w:tc>
          <w:tcPr>
            <w:tcW w:type="dxa" w:w="13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4.8</w:t>
            </w:r>
          </w:p>
        </w:tc>
        <w:tc>
          <w:tcPr>
            <w:tcW w:type="dxa" w:w="1696"/>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Convolutional</w:t>
            </w:r>
          </w:p>
        </w:tc>
      </w:tr>
      <w:tr>
        <w:trPr>
          <w:cantSplit/>
        </w:trPr>
        <w:tc>
          <w:tcPr>
            <w:tcW w:type="dxa" w:w="2100"/>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BiLSTM (hidden 96)</w:t>
            </w:r>
          </w:p>
        </w:tc>
        <w:tc>
          <w:tcPr>
            <w:tcW w:type="dxa" w:w="125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306,054</w:t>
            </w:r>
          </w:p>
        </w:tc>
        <w:tc>
          <w:tcPr>
            <w:tcW w:type="dxa" w:w="17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0.8921 ± 0.0103</w:t>
            </w:r>
          </w:p>
        </w:tc>
        <w:tc>
          <w:tcPr>
            <w:tcW w:type="dxa" w:w="17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0.8915 ± 0.0111</w:t>
            </w:r>
          </w:p>
        </w:tc>
        <w:tc>
          <w:tcPr>
            <w:tcW w:type="dxa" w:w="13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4.0</w:t>
            </w:r>
          </w:p>
        </w:tc>
        <w:tc>
          <w:tcPr>
            <w:tcW w:type="dxa" w:w="1696"/>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Recurrent</w:t>
            </w:r>
          </w:p>
        </w:tc>
      </w:tr>
    </w:tbl>
    <w:p>
      <w:pPr>
        <w:spacing w:after="110" w:line="262"/>
        <w:jc w:val="both"/>
      </w:pPr>
      <w:r>
        <w:rPr>
          <w:rFonts w:ascii="Times New Roman" w:cs="Times New Roman" w:eastAsia="Times New Roman" w:hAnsi="Times New Roman"/>
          <w:b w:val="false"/>
          <w:bCs w:val="false"/>
          <w:i w:val="false"/>
          <w:iCs w:val="false"/>
          <w:sz w:val="20"/>
          <w:szCs w:val="20"/>
        </w:rPr>
        <w:t xml:space="preserve">The comparison resolves into two groups rather than three. The convolutional model leads at 0.9211 ± 0.0065. The fully connected baseline and the recurrent model sit together well below it, at 0.8925 ± 0.0087 and 0.8921 ± 0.0103, separated from the CNN by 0.0286 and 0.0290 respectively, which is between two and three standard deviations in both cases.</w:t>
      </w:r>
    </w:p>
    <w:p>
      <w:pPr>
        <w:spacing w:after="110" w:line="262"/>
        <w:jc w:val="both"/>
      </w:pPr>
      <w:r>
        <w:rPr>
          <w:rFonts w:ascii="Times New Roman" w:cs="Times New Roman" w:eastAsia="Times New Roman" w:hAnsi="Times New Roman"/>
          <w:b w:val="false"/>
          <w:bCs w:val="false"/>
          <w:i w:val="false"/>
          <w:iCs w:val="false"/>
          <w:sz w:val="20"/>
          <w:szCs w:val="20"/>
        </w:rPr>
        <w:t xml:space="preserve">The distance between the baseline and the recurrent model is 0.0004, four hundredths of a single standard deviation. They are not merely close; on this task and under this protocol they are indistinguishable. The two carry comparable parameter budgets, 329,606 and 306,054, but sit at opposite ends of the inductive-bias spectrum: one encodes no assumption whatever about the structure of the signal, the other encodes order sensitivity in both temporal directions. That they land on the same number is the central negative result of this study. Bidirectional recurrence, applied to this task, buys nothing.</w:t>
      </w:r>
    </w:p>
    <w:p>
      <w:pPr>
        <w:spacing w:after="110" w:line="262"/>
        <w:jc w:val="both"/>
      </w:pPr>
      <w:r>
        <w:rPr>
          <w:rFonts w:ascii="Times New Roman" w:cs="Times New Roman" w:eastAsia="Times New Roman" w:hAnsi="Times New Roman"/>
          <w:b w:val="false"/>
          <w:bCs w:val="false"/>
          <w:i w:val="false"/>
          <w:iCs w:val="false"/>
          <w:sz w:val="20"/>
          <w:szCs w:val="20"/>
        </w:rPr>
        <w:t xml:space="preserve">This is what Hammerla et al. [9] predict. Their conclusion is conditional: recurrent models outperform convolutional ones on activities that are short in duration but have a natural ordering, while for prolonged repetitive activities they recommend convolutional models. The six classes here are prolonged and repetitive, and a 2.56-second window of steady walking has no privileged beginning or end for a recurrent model to exploit. The order information a BiLSTM is built to capture is, for this data, largely absent.</w:t>
      </w:r>
    </w:p>
    <w:p>
      <w:pPr>
        <w:spacing w:after="120" w:line="262"/>
        <w:jc w:val="both"/>
      </w:pPr>
      <w:r>
        <w:rPr>
          <w:rFonts w:ascii="Times New Roman" w:cs="Times New Roman" w:eastAsia="Times New Roman" w:hAnsi="Times New Roman"/>
          <w:b w:val="false"/>
          <w:bCs w:val="false"/>
          <w:i w:val="false"/>
          <w:iCs w:val="false"/>
          <w:sz w:val="20"/>
          <w:szCs w:val="20"/>
        </w:rPr>
        <w:t xml:space="preserve">The interim report, working from single runs, recorded the BiLSTM at 0.8890 against the baseline’s 0.8996 and tentatively described the recurrent model as underperforming the architecture-free control. Five seeds do not support that reading. The correct statement is the simpler one: the two are equal, and the gap seen in single runs was seed variation.</w:t>
      </w:r>
    </w:p>
    <w:p>
      <w:pPr>
        <w:spacing w:after="120" w:line="262"/>
        <w:jc w:val="both"/>
      </w:pPr>
      <w:r>
        <w:rPr>
          <w:rFonts w:ascii="Times New Roman" w:cs="Times New Roman" w:eastAsia="Times New Roman" w:hAnsi="Times New Roman"/>
          <w:b w:val="false"/>
          <w:bCs w:val="false"/>
          <w:i w:val="false"/>
          <w:iCs w:val="false"/>
          <w:sz w:val="20"/>
          <w:szCs w:val="20"/>
        </w:rPr>
        <w:t xml:space="preserve">The more informative part of the comparison is the parameter count. The CNN achieves its result with 128,646 parameters against the baseline’s 329,606, so it is 2.6 times smaller while being measurably more accurate. Capacity is not what separates them.</w:t>
      </w:r>
    </w:p>
    <w:p>
      <w:pPr>
        <w:spacing w:after="80" w:before="170"/>
        <w:jc w:val="center"/>
      </w:pPr>
      <w:r>
        <w:rPr>
          <w:rFonts w:ascii="Times New Roman" w:cs="Times New Roman" w:eastAsia="Times New Roman" w:hAnsi="Times New Roman"/>
          <w:smallCaps/>
          <w:sz w:val="16"/>
          <w:szCs w:val="16"/>
        </w:rPr>
        <w:t xml:space="preserve">Table II. Per-class F1 (5 seeds, mean ± sample std)</w:t>
      </w:r>
    </w:p>
    <w:tbl>
      <w:tblPr>
        <w:tblW w:type="dxa" w:w="9746"/>
        <w:tblBorders>
          <w:top w:val="single" w:color="000000" w:sz="4"/>
          <w:left w:val="single" w:color="000000" w:sz="4"/>
          <w:bottom w:val="single" w:color="000000" w:sz="4"/>
          <w:right w:val="single" w:color="000000" w:sz="4"/>
          <w:insideH w:val="single" w:color="808080" w:sz="2"/>
          <w:insideV w:val="single" w:color="808080" w:sz="2"/>
        </w:tblBorders>
      </w:tblPr>
      <w:tblGrid>
        <w:gridCol w:w="2000"/>
        <w:gridCol w:w="1291"/>
        <w:gridCol w:w="1291"/>
        <w:gridCol w:w="1291"/>
        <w:gridCol w:w="1291"/>
        <w:gridCol w:w="1291"/>
        <w:gridCol w:w="1291"/>
      </w:tblGrid>
      <w:tr>
        <w:trPr>
          <w:tblHeader/>
        </w:trPr>
        <w:tc>
          <w:tcPr>
            <w:tcW w:type="dxa" w:w="2000"/>
            <w:shd w:fill="D9D9D9" w:color="auto" w:val="clear"/>
            <w:tcMar>
              <w:top w:type="dxa" w:w="50"/>
              <w:left w:type="dxa" w:w="85"/>
              <w:bottom w:type="dxa" w:w="50"/>
              <w:right w:type="dxa" w:w="85"/>
            </w:tcMar>
          </w:tcPr>
          <w:p>
            <w:pPr>
              <w:spacing w:after="0" w:line="235"/>
              <w:jc w:val="left"/>
            </w:pPr>
            <w:r>
              <w:rPr>
                <w:rFonts w:ascii="Times New Roman" w:cs="Times New Roman" w:eastAsia="Times New Roman" w:hAnsi="Times New Roman"/>
                <w:b/>
                <w:bCs/>
                <w:i w:val="false"/>
                <w:iCs w:val="false"/>
                <w:sz w:val="16"/>
                <w:szCs w:val="16"/>
              </w:rPr>
              <w:t xml:space="preserve">Model</w:t>
            </w:r>
          </w:p>
        </w:tc>
        <w:tc>
          <w:tcPr>
            <w:tcW w:type="dxa" w:w="1291"/>
            <w:shd w:fill="D9D9D9" w:color="auto" w:val="clear"/>
            <w:tcMar>
              <w:top w:type="dxa" w:w="50"/>
              <w:left w:type="dxa" w:w="85"/>
              <w:bottom w:type="dxa" w:w="50"/>
              <w:right w:type="dxa" w:w="85"/>
            </w:tcMar>
          </w:tcPr>
          <w:p>
            <w:pPr>
              <w:spacing w:after="0" w:line="235"/>
              <w:jc w:val="center"/>
            </w:pPr>
            <w:r>
              <w:rPr>
                <w:rFonts w:ascii="Times New Roman" w:cs="Times New Roman" w:eastAsia="Times New Roman" w:hAnsi="Times New Roman"/>
                <w:b/>
                <w:bCs/>
                <w:i w:val="false"/>
                <w:iCs w:val="false"/>
                <w:sz w:val="16"/>
                <w:szCs w:val="16"/>
              </w:rPr>
              <w:t xml:space="preserve">Walking</w:t>
            </w:r>
          </w:p>
        </w:tc>
        <w:tc>
          <w:tcPr>
            <w:tcW w:type="dxa" w:w="1291"/>
            <w:shd w:fill="D9D9D9" w:color="auto" w:val="clear"/>
            <w:tcMar>
              <w:top w:type="dxa" w:w="50"/>
              <w:left w:type="dxa" w:w="85"/>
              <w:bottom w:type="dxa" w:w="50"/>
              <w:right w:type="dxa" w:w="85"/>
            </w:tcMar>
          </w:tcPr>
          <w:p>
            <w:pPr>
              <w:spacing w:after="0" w:line="235"/>
              <w:jc w:val="center"/>
            </w:pPr>
            <w:r>
              <w:rPr>
                <w:rFonts w:ascii="Times New Roman" w:cs="Times New Roman" w:eastAsia="Times New Roman" w:hAnsi="Times New Roman"/>
                <w:b/>
                <w:bCs/>
                <w:i w:val="false"/>
                <w:iCs w:val="false"/>
                <w:sz w:val="16"/>
                <w:szCs w:val="16"/>
              </w:rPr>
              <w:t xml:space="preserve">W. upstairs</w:t>
            </w:r>
          </w:p>
        </w:tc>
        <w:tc>
          <w:tcPr>
            <w:tcW w:type="dxa" w:w="1291"/>
            <w:shd w:fill="D9D9D9" w:color="auto" w:val="clear"/>
            <w:tcMar>
              <w:top w:type="dxa" w:w="50"/>
              <w:left w:type="dxa" w:w="85"/>
              <w:bottom w:type="dxa" w:w="50"/>
              <w:right w:type="dxa" w:w="85"/>
            </w:tcMar>
          </w:tcPr>
          <w:p>
            <w:pPr>
              <w:spacing w:after="0" w:line="235"/>
              <w:jc w:val="center"/>
            </w:pPr>
            <w:r>
              <w:rPr>
                <w:rFonts w:ascii="Times New Roman" w:cs="Times New Roman" w:eastAsia="Times New Roman" w:hAnsi="Times New Roman"/>
                <w:b/>
                <w:bCs/>
                <w:i w:val="false"/>
                <w:iCs w:val="false"/>
                <w:sz w:val="16"/>
                <w:szCs w:val="16"/>
              </w:rPr>
              <w:t xml:space="preserve">W. downstairs</w:t>
            </w:r>
          </w:p>
        </w:tc>
        <w:tc>
          <w:tcPr>
            <w:tcW w:type="dxa" w:w="1291"/>
            <w:shd w:fill="D9D9D9" w:color="auto" w:val="clear"/>
            <w:tcMar>
              <w:top w:type="dxa" w:w="50"/>
              <w:left w:type="dxa" w:w="85"/>
              <w:bottom w:type="dxa" w:w="50"/>
              <w:right w:type="dxa" w:w="85"/>
            </w:tcMar>
          </w:tcPr>
          <w:p>
            <w:pPr>
              <w:spacing w:after="0" w:line="235"/>
              <w:jc w:val="center"/>
            </w:pPr>
            <w:r>
              <w:rPr>
                <w:rFonts w:ascii="Times New Roman" w:cs="Times New Roman" w:eastAsia="Times New Roman" w:hAnsi="Times New Roman"/>
                <w:b/>
                <w:bCs/>
                <w:i w:val="false"/>
                <w:iCs w:val="false"/>
                <w:sz w:val="16"/>
                <w:szCs w:val="16"/>
              </w:rPr>
              <w:t xml:space="preserve">Sitting</w:t>
            </w:r>
          </w:p>
        </w:tc>
        <w:tc>
          <w:tcPr>
            <w:tcW w:type="dxa" w:w="1291"/>
            <w:shd w:fill="D9D9D9" w:color="auto" w:val="clear"/>
            <w:tcMar>
              <w:top w:type="dxa" w:w="50"/>
              <w:left w:type="dxa" w:w="85"/>
              <w:bottom w:type="dxa" w:w="50"/>
              <w:right w:type="dxa" w:w="85"/>
            </w:tcMar>
          </w:tcPr>
          <w:p>
            <w:pPr>
              <w:spacing w:after="0" w:line="235"/>
              <w:jc w:val="center"/>
            </w:pPr>
            <w:r>
              <w:rPr>
                <w:rFonts w:ascii="Times New Roman" w:cs="Times New Roman" w:eastAsia="Times New Roman" w:hAnsi="Times New Roman"/>
                <w:b/>
                <w:bCs/>
                <w:i w:val="false"/>
                <w:iCs w:val="false"/>
                <w:sz w:val="16"/>
                <w:szCs w:val="16"/>
              </w:rPr>
              <w:t xml:space="preserve">Standing</w:t>
            </w:r>
          </w:p>
        </w:tc>
        <w:tc>
          <w:tcPr>
            <w:tcW w:type="dxa" w:w="1291"/>
            <w:shd w:fill="D9D9D9" w:color="auto" w:val="clear"/>
            <w:tcMar>
              <w:top w:type="dxa" w:w="50"/>
              <w:left w:type="dxa" w:w="85"/>
              <w:bottom w:type="dxa" w:w="50"/>
              <w:right w:type="dxa" w:w="85"/>
            </w:tcMar>
          </w:tcPr>
          <w:p>
            <w:pPr>
              <w:spacing w:after="0" w:line="235"/>
              <w:jc w:val="center"/>
            </w:pPr>
            <w:r>
              <w:rPr>
                <w:rFonts w:ascii="Times New Roman" w:cs="Times New Roman" w:eastAsia="Times New Roman" w:hAnsi="Times New Roman"/>
                <w:b/>
                <w:bCs/>
                <w:i w:val="false"/>
                <w:iCs w:val="false"/>
                <w:sz w:val="16"/>
                <w:szCs w:val="16"/>
              </w:rPr>
              <w:t xml:space="preserve">Laying</w:t>
            </w:r>
          </w:p>
        </w:tc>
      </w:tr>
      <w:tr>
        <w:trPr>
          <w:cantSplit/>
        </w:trPr>
        <w:tc>
          <w:tcPr>
            <w:tcW w:type="dxa" w:w="2000"/>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MLP (raw)</w:t>
            </w:r>
          </w:p>
        </w:tc>
        <w:tc>
          <w:tcPr>
            <w:tcW w:type="dxa" w:w="1291"/>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0.932 ± 0.008</w:t>
            </w:r>
          </w:p>
        </w:tc>
        <w:tc>
          <w:tcPr>
            <w:tcW w:type="dxa" w:w="1291"/>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0.894 ± 0.007</w:t>
            </w:r>
          </w:p>
        </w:tc>
        <w:tc>
          <w:tcPr>
            <w:tcW w:type="dxa" w:w="1291"/>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0.913 ± 0.008</w:t>
            </w:r>
          </w:p>
        </w:tc>
        <w:tc>
          <w:tcPr>
            <w:tcW w:type="dxa" w:w="1291"/>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0.804 ± 0.022</w:t>
            </w:r>
          </w:p>
        </w:tc>
        <w:tc>
          <w:tcPr>
            <w:tcW w:type="dxa" w:w="1291"/>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0.840 ± 0.019</w:t>
            </w:r>
          </w:p>
        </w:tc>
        <w:tc>
          <w:tcPr>
            <w:tcW w:type="dxa" w:w="1291"/>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0.974 ± 0.000</w:t>
            </w:r>
          </w:p>
        </w:tc>
      </w:tr>
      <w:tr>
        <w:trPr>
          <w:cantSplit/>
        </w:trPr>
        <w:tc>
          <w:tcPr>
            <w:tcW w:type="dxa" w:w="2000"/>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1D-CNN</w:t>
            </w:r>
          </w:p>
        </w:tc>
        <w:tc>
          <w:tcPr>
            <w:tcW w:type="dxa" w:w="1291"/>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0.978 ± 0.010</w:t>
            </w:r>
          </w:p>
        </w:tc>
        <w:tc>
          <w:tcPr>
            <w:tcW w:type="dxa" w:w="1291"/>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0.919 ± 0.012</w:t>
            </w:r>
          </w:p>
        </w:tc>
        <w:tc>
          <w:tcPr>
            <w:tcW w:type="dxa" w:w="1291"/>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0.939 ± 0.016</w:t>
            </w:r>
          </w:p>
        </w:tc>
        <w:tc>
          <w:tcPr>
            <w:tcW w:type="dxa" w:w="1291"/>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0.841 ± 0.009</w:t>
            </w:r>
          </w:p>
        </w:tc>
        <w:tc>
          <w:tcPr>
            <w:tcW w:type="dxa" w:w="1291"/>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0.868 ± 0.005</w:t>
            </w:r>
          </w:p>
        </w:tc>
        <w:tc>
          <w:tcPr>
            <w:tcW w:type="dxa" w:w="1291"/>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0.981 ± 0.011</w:t>
            </w:r>
          </w:p>
        </w:tc>
      </w:tr>
      <w:tr>
        <w:trPr>
          <w:cantSplit/>
        </w:trPr>
        <w:tc>
          <w:tcPr>
            <w:tcW w:type="dxa" w:w="2000"/>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BiLSTM</w:t>
            </w:r>
          </w:p>
        </w:tc>
        <w:tc>
          <w:tcPr>
            <w:tcW w:type="dxa" w:w="1291"/>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0.924 ± 0.027</w:t>
            </w:r>
          </w:p>
        </w:tc>
        <w:tc>
          <w:tcPr>
            <w:tcW w:type="dxa" w:w="1291"/>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0.897 ± 0.031</w:t>
            </w:r>
          </w:p>
        </w:tc>
        <w:tc>
          <w:tcPr>
            <w:tcW w:type="dxa" w:w="1291"/>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0.881 ± 0.014</w:t>
            </w:r>
          </w:p>
        </w:tc>
        <w:tc>
          <w:tcPr>
            <w:tcW w:type="dxa" w:w="1291"/>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0.821 ± 0.015</w:t>
            </w:r>
          </w:p>
        </w:tc>
        <w:tc>
          <w:tcPr>
            <w:tcW w:type="dxa" w:w="1291"/>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0.851 ± 0.007</w:t>
            </w:r>
          </w:p>
        </w:tc>
        <w:tc>
          <w:tcPr>
            <w:tcW w:type="dxa" w:w="1291"/>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0.975 ± 0.001</w:t>
            </w:r>
          </w:p>
        </w:tc>
      </w:tr>
    </w:tbl>
    <w:p>
      <w:pPr>
        <w:spacing w:after="120" w:line="262"/>
        <w:jc w:val="both"/>
      </w:pPr>
      <w:r>
        <w:rPr>
          <w:rFonts w:ascii="Times New Roman" w:cs="Times New Roman" w:eastAsia="Times New Roman" w:hAnsi="Times New Roman"/>
          <w:b w:val="false"/>
          <w:bCs w:val="false"/>
          <w:i w:val="false"/>
          <w:iCs w:val="false"/>
          <w:sz w:val="20"/>
          <w:szCs w:val="20"/>
        </w:rPr>
        <w:t xml:space="preserve">The per-class breakdown shows where the gap actually lives. On walking, the CNN gains 4.6 F1 points over the baseline, and on walking downstairs 2.6. On laying, a posture with an unmistakable gravity signature, both models are effectively saturated and the difference is 0.7 points. The convolutional advantage is concentrated in exactly the dynamic, cyclic classes where a translation-invariant local filter has something to detect, and vanishes where it does not. That is the predicted behaviour of the inductive bias rather than a general capability difference.</w:t>
      </w:r>
    </w:p>
    <w:p>
      <w:pPr>
        <w:spacing w:after="90" w:before="190"/>
        <w:jc w:val="left"/>
      </w:pPr>
      <w:r>
        <w:rPr>
          <w:rFonts w:ascii="Times New Roman" w:cs="Times New Roman" w:eastAsia="Times New Roman" w:hAnsi="Times New Roman"/>
          <w:i/>
          <w:iCs/>
          <w:sz w:val="20"/>
          <w:szCs w:val="20"/>
        </w:rPr>
        <w:t xml:space="preserve">B. Is the Baseline Capacity-Limited?</w:t>
      </w:r>
    </w:p>
    <w:p>
      <w:pPr>
        <w:spacing w:after="110" w:line="262"/>
        <w:jc w:val="both"/>
      </w:pPr>
      <w:r>
        <w:rPr>
          <w:rFonts w:ascii="Times New Roman" w:cs="Times New Roman" w:eastAsia="Times New Roman" w:hAnsi="Times New Roman"/>
          <w:b w:val="false"/>
          <w:bCs w:val="false"/>
          <w:i w:val="false"/>
          <w:iCs w:val="false"/>
          <w:sz w:val="20"/>
          <w:szCs w:val="20"/>
        </w:rPr>
        <w:t xml:space="preserve">A natural objection to the comparison is that the baseline lost because it was the wrong size rather than the wrong shape. The ablation in Table IV tests this by sweeping hidden-layer width across a sixteen-fold range while holding everything else fixed.</w:t>
      </w:r>
    </w:p>
    <w:p>
      <w:pPr>
        <w:spacing w:after="80" w:before="170"/>
        <w:jc w:val="center"/>
      </w:pPr>
      <w:r>
        <w:rPr>
          <w:rFonts w:ascii="Times New Roman" w:cs="Times New Roman" w:eastAsia="Times New Roman" w:hAnsi="Times New Roman"/>
          <w:smallCaps/>
          <w:sz w:val="16"/>
          <w:szCs w:val="16"/>
        </w:rPr>
        <w:t xml:space="preserve">Table IV. MLP ablation, one factor varied at a time (3 seeds per variant, mean ± sample std)</w:t>
      </w:r>
    </w:p>
    <w:tbl>
      <w:tblPr>
        <w:tblW w:type="dxa" w:w="9746"/>
        <w:tblBorders>
          <w:top w:val="single" w:color="000000" w:sz="4"/>
          <w:left w:val="single" w:color="000000" w:sz="4"/>
          <w:bottom w:val="single" w:color="000000" w:sz="4"/>
          <w:right w:val="single" w:color="000000" w:sz="4"/>
          <w:insideH w:val="single" w:color="808080" w:sz="2"/>
          <w:insideV w:val="single" w:color="808080" w:sz="2"/>
        </w:tblBorders>
      </w:tblPr>
      <w:tblGrid>
        <w:gridCol w:w="2600"/>
        <w:gridCol w:w="1700"/>
        <w:gridCol w:w="1700"/>
        <w:gridCol w:w="1900"/>
        <w:gridCol w:w="1846"/>
      </w:tblGrid>
      <w:tr>
        <w:trPr>
          <w:tblHeader/>
        </w:trPr>
        <w:tc>
          <w:tcPr>
            <w:tcW w:type="dxa" w:w="2600"/>
            <w:shd w:fill="D9D9D9" w:color="auto" w:val="clear"/>
            <w:tcMar>
              <w:top w:type="dxa" w:w="50"/>
              <w:left w:type="dxa" w:w="85"/>
              <w:bottom w:type="dxa" w:w="50"/>
              <w:right w:type="dxa" w:w="85"/>
            </w:tcMar>
          </w:tcPr>
          <w:p>
            <w:pPr>
              <w:spacing w:after="0" w:line="235"/>
              <w:jc w:val="left"/>
            </w:pPr>
            <w:r>
              <w:rPr>
                <w:rFonts w:ascii="Times New Roman" w:cs="Times New Roman" w:eastAsia="Times New Roman" w:hAnsi="Times New Roman"/>
                <w:b/>
                <w:bCs/>
                <w:i w:val="false"/>
                <w:iCs w:val="false"/>
                <w:sz w:val="16"/>
                <w:szCs w:val="16"/>
              </w:rPr>
              <w:t xml:space="preserve">Variant</w:t>
            </w:r>
          </w:p>
        </w:tc>
        <w:tc>
          <w:tcPr>
            <w:tcW w:type="dxa" w:w="1700"/>
            <w:shd w:fill="D9D9D9" w:color="auto" w:val="clear"/>
            <w:tcMar>
              <w:top w:type="dxa" w:w="50"/>
              <w:left w:type="dxa" w:w="85"/>
              <w:bottom w:type="dxa" w:w="50"/>
              <w:right w:type="dxa" w:w="85"/>
            </w:tcMar>
          </w:tcPr>
          <w:p>
            <w:pPr>
              <w:spacing w:after="0" w:line="235"/>
              <w:jc w:val="center"/>
            </w:pPr>
            <w:r>
              <w:rPr>
                <w:rFonts w:ascii="Times New Roman" w:cs="Times New Roman" w:eastAsia="Times New Roman" w:hAnsi="Times New Roman"/>
                <w:b/>
                <w:bCs/>
                <w:i w:val="false"/>
                <w:iCs w:val="false"/>
                <w:sz w:val="16"/>
                <w:szCs w:val="16"/>
              </w:rPr>
              <w:t xml:space="preserve">Parameters</w:t>
            </w:r>
          </w:p>
        </w:tc>
        <w:tc>
          <w:tcPr>
            <w:tcW w:type="dxa" w:w="1700"/>
            <w:shd w:fill="D9D9D9" w:color="auto" w:val="clear"/>
            <w:tcMar>
              <w:top w:type="dxa" w:w="50"/>
              <w:left w:type="dxa" w:w="85"/>
              <w:bottom w:type="dxa" w:w="50"/>
              <w:right w:type="dxa" w:w="85"/>
            </w:tcMar>
          </w:tcPr>
          <w:p>
            <w:pPr>
              <w:spacing w:after="0" w:line="235"/>
              <w:jc w:val="center"/>
            </w:pPr>
            <w:r>
              <w:rPr>
                <w:rFonts w:ascii="Times New Roman" w:cs="Times New Roman" w:eastAsia="Times New Roman" w:hAnsi="Times New Roman"/>
                <w:b/>
                <w:bCs/>
                <w:i w:val="false"/>
                <w:iCs w:val="false"/>
                <w:sz w:val="16"/>
                <w:szCs w:val="16"/>
              </w:rPr>
              <w:t xml:space="preserve">Validation loss</w:t>
            </w:r>
          </w:p>
        </w:tc>
        <w:tc>
          <w:tcPr>
            <w:tcW w:type="dxa" w:w="1900"/>
            <w:shd w:fill="D9D9D9" w:color="auto" w:val="clear"/>
            <w:tcMar>
              <w:top w:type="dxa" w:w="50"/>
              <w:left w:type="dxa" w:w="85"/>
              <w:bottom w:type="dxa" w:w="50"/>
              <w:right w:type="dxa" w:w="85"/>
            </w:tcMar>
          </w:tcPr>
          <w:p>
            <w:pPr>
              <w:spacing w:after="0" w:line="235"/>
              <w:jc w:val="center"/>
            </w:pPr>
            <w:r>
              <w:rPr>
                <w:rFonts w:ascii="Times New Roman" w:cs="Times New Roman" w:eastAsia="Times New Roman" w:hAnsi="Times New Roman"/>
                <w:b/>
                <w:bCs/>
                <w:i w:val="false"/>
                <w:iCs w:val="false"/>
                <w:sz w:val="16"/>
                <w:szCs w:val="16"/>
              </w:rPr>
              <w:t xml:space="preserve">Val. rank</w:t>
            </w:r>
          </w:p>
        </w:tc>
        <w:tc>
          <w:tcPr>
            <w:tcW w:type="dxa" w:w="1846"/>
            <w:shd w:fill="D9D9D9" w:color="auto" w:val="clear"/>
            <w:tcMar>
              <w:top w:type="dxa" w:w="50"/>
              <w:left w:type="dxa" w:w="85"/>
              <w:bottom w:type="dxa" w:w="50"/>
              <w:right w:type="dxa" w:w="85"/>
            </w:tcMar>
          </w:tcPr>
          <w:p>
            <w:pPr>
              <w:spacing w:after="0" w:line="235"/>
              <w:jc w:val="center"/>
            </w:pPr>
            <w:r>
              <w:rPr>
                <w:rFonts w:ascii="Times New Roman" w:cs="Times New Roman" w:eastAsia="Times New Roman" w:hAnsi="Times New Roman"/>
                <w:b/>
                <w:bCs/>
                <w:i w:val="false"/>
                <w:iCs w:val="false"/>
                <w:sz w:val="16"/>
                <w:szCs w:val="16"/>
              </w:rPr>
              <w:t xml:space="preserve">Test accuracy</w:t>
            </w:r>
          </w:p>
        </w:tc>
      </w:tr>
      <w:tr>
        <w:trPr>
          <w:cantSplit/>
        </w:trPr>
        <w:tc>
          <w:tcPr>
            <w:tcW w:type="dxa" w:w="2600"/>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raw: base (h=256/128, p=0.3)</w:t>
            </w:r>
          </w:p>
        </w:tc>
        <w:tc>
          <w:tcPr>
            <w:tcW w:type="dxa" w:w="17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329,606</w:t>
            </w:r>
          </w:p>
        </w:tc>
        <w:tc>
          <w:tcPr>
            <w:tcW w:type="dxa" w:w="17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0.4481 ± 0.0029</w:t>
            </w:r>
          </w:p>
        </w:tc>
        <w:tc>
          <w:tcPr>
            <w:tcW w:type="dxa" w:w="19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6</w:t>
            </w:r>
          </w:p>
        </w:tc>
        <w:tc>
          <w:tcPr>
            <w:tcW w:type="dxa" w:w="1846"/>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0.8971 ± 0.0052</w:t>
            </w:r>
          </w:p>
        </w:tc>
      </w:tr>
      <w:tr>
        <w:trPr>
          <w:cantSplit/>
        </w:trPr>
        <w:tc>
          <w:tcPr>
            <w:tcW w:type="dxa" w:w="2600"/>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raw: hidden 64/32 (quarter)</w:t>
            </w:r>
          </w:p>
        </w:tc>
        <w:tc>
          <w:tcPr>
            <w:tcW w:type="dxa" w:w="17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76,262</w:t>
            </w:r>
          </w:p>
        </w:tc>
        <w:tc>
          <w:tcPr>
            <w:tcW w:type="dxa" w:w="17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0.4495 ± 0.0152</w:t>
            </w:r>
          </w:p>
        </w:tc>
        <w:tc>
          <w:tcPr>
            <w:tcW w:type="dxa" w:w="19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8</w:t>
            </w:r>
          </w:p>
        </w:tc>
        <w:tc>
          <w:tcPr>
            <w:tcW w:type="dxa" w:w="1846"/>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0.8918 ± 0.0009</w:t>
            </w:r>
          </w:p>
        </w:tc>
      </w:tr>
      <w:tr>
        <w:trPr>
          <w:cantSplit/>
        </w:trPr>
        <w:tc>
          <w:tcPr>
            <w:tcW w:type="dxa" w:w="2600"/>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raw: hidden 128/64 (half)</w:t>
            </w:r>
          </w:p>
        </w:tc>
        <w:tc>
          <w:tcPr>
            <w:tcW w:type="dxa" w:w="17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156,614</w:t>
            </w:r>
          </w:p>
        </w:tc>
        <w:tc>
          <w:tcPr>
            <w:tcW w:type="dxa" w:w="17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0.4441 ± 0.0167</w:t>
            </w:r>
          </w:p>
        </w:tc>
        <w:tc>
          <w:tcPr>
            <w:tcW w:type="dxa" w:w="19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5</w:t>
            </w:r>
          </w:p>
        </w:tc>
        <w:tc>
          <w:tcPr>
            <w:tcW w:type="dxa" w:w="1846"/>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0.8980 ± 0.0029</w:t>
            </w:r>
          </w:p>
        </w:tc>
      </w:tr>
      <w:tr>
        <w:trPr>
          <w:cantSplit/>
        </w:trPr>
        <w:tc>
          <w:tcPr>
            <w:tcW w:type="dxa" w:w="2600"/>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raw: hidden 512/256 (double)</w:t>
            </w:r>
          </w:p>
        </w:tc>
        <w:tc>
          <w:tcPr>
            <w:tcW w:type="dxa" w:w="17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724,742</w:t>
            </w:r>
          </w:p>
        </w:tc>
        <w:tc>
          <w:tcPr>
            <w:tcW w:type="dxa" w:w="17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0.4747 ± 0.0046</w:t>
            </w:r>
          </w:p>
        </w:tc>
        <w:tc>
          <w:tcPr>
            <w:tcW w:type="dxa" w:w="19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9</w:t>
            </w:r>
          </w:p>
        </w:tc>
        <w:tc>
          <w:tcPr>
            <w:tcW w:type="dxa" w:w="1846"/>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0.8903 ± 0.0092</w:t>
            </w:r>
          </w:p>
        </w:tc>
      </w:tr>
      <w:tr>
        <w:trPr>
          <w:cantSplit/>
        </w:trPr>
        <w:tc>
          <w:tcPr>
            <w:tcW w:type="dxa" w:w="2600"/>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raw: dropout 0.0</w:t>
            </w:r>
          </w:p>
        </w:tc>
        <w:tc>
          <w:tcPr>
            <w:tcW w:type="dxa" w:w="17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329,606</w:t>
            </w:r>
          </w:p>
        </w:tc>
        <w:tc>
          <w:tcPr>
            <w:tcW w:type="dxa" w:w="17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0.4490 ± 0.0294</w:t>
            </w:r>
          </w:p>
        </w:tc>
        <w:tc>
          <w:tcPr>
            <w:tcW w:type="dxa" w:w="19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7</w:t>
            </w:r>
          </w:p>
        </w:tc>
        <w:tc>
          <w:tcPr>
            <w:tcW w:type="dxa" w:w="1846"/>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0.8944 ± 0.0073</w:t>
            </w:r>
          </w:p>
        </w:tc>
      </w:tr>
      <w:tr>
        <w:trPr>
          <w:cantSplit/>
        </w:trPr>
        <w:tc>
          <w:tcPr>
            <w:tcW w:type="dxa" w:w="2600"/>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raw: dropout 0.5</w:t>
            </w:r>
          </w:p>
        </w:tc>
        <w:tc>
          <w:tcPr>
            <w:tcW w:type="dxa" w:w="17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329,606</w:t>
            </w:r>
          </w:p>
        </w:tc>
        <w:tc>
          <w:tcPr>
            <w:tcW w:type="dxa" w:w="17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0.4282 ± 0.0063</w:t>
            </w:r>
          </w:p>
        </w:tc>
        <w:tc>
          <w:tcPr>
            <w:tcW w:type="dxa" w:w="19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4</w:t>
            </w:r>
          </w:p>
        </w:tc>
        <w:tc>
          <w:tcPr>
            <w:tcW w:type="dxa" w:w="1846"/>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0.8961 ± 0.0021</w:t>
            </w:r>
          </w:p>
        </w:tc>
      </w:tr>
      <w:tr>
        <w:trPr>
          <w:cantSplit/>
        </w:trPr>
        <w:tc>
          <w:tcPr>
            <w:tcW w:type="dxa" w:w="2600"/>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561-feat: base (h=256/128, p=0.3)</w:t>
            </w:r>
          </w:p>
        </w:tc>
        <w:tc>
          <w:tcPr>
            <w:tcW w:type="dxa" w:w="17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178,310</w:t>
            </w:r>
          </w:p>
        </w:tc>
        <w:tc>
          <w:tcPr>
            <w:tcW w:type="dxa" w:w="17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0.2414 ± 0.0157</w:t>
            </w:r>
          </w:p>
        </w:tc>
        <w:tc>
          <w:tcPr>
            <w:tcW w:type="dxa" w:w="19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1</w:t>
            </w:r>
          </w:p>
        </w:tc>
        <w:tc>
          <w:tcPr>
            <w:tcW w:type="dxa" w:w="1846"/>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0.9204 ± 0.0067</w:t>
            </w:r>
          </w:p>
        </w:tc>
      </w:tr>
      <w:tr>
        <w:trPr>
          <w:cantSplit/>
        </w:trPr>
        <w:tc>
          <w:tcPr>
            <w:tcW w:type="dxa" w:w="2600"/>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561-feat: hidden 128/64 (half)</w:t>
            </w:r>
          </w:p>
        </w:tc>
        <w:tc>
          <w:tcPr>
            <w:tcW w:type="dxa" w:w="17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80,966</w:t>
            </w:r>
          </w:p>
        </w:tc>
        <w:tc>
          <w:tcPr>
            <w:tcW w:type="dxa" w:w="17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0.2565 ± 0.0320</w:t>
            </w:r>
          </w:p>
        </w:tc>
        <w:tc>
          <w:tcPr>
            <w:tcW w:type="dxa" w:w="19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3</w:t>
            </w:r>
          </w:p>
        </w:tc>
        <w:tc>
          <w:tcPr>
            <w:tcW w:type="dxa" w:w="1846"/>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0.9139 ± 0.0187</w:t>
            </w:r>
          </w:p>
        </w:tc>
      </w:tr>
      <w:tr>
        <w:trPr>
          <w:cantSplit/>
        </w:trPr>
        <w:tc>
          <w:tcPr>
            <w:tcW w:type="dxa" w:w="2600"/>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561-feat: dropout 0.5</w:t>
            </w:r>
          </w:p>
        </w:tc>
        <w:tc>
          <w:tcPr>
            <w:tcW w:type="dxa" w:w="17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178,310</w:t>
            </w:r>
          </w:p>
        </w:tc>
        <w:tc>
          <w:tcPr>
            <w:tcW w:type="dxa" w:w="17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0.2491 ± 0.0120</w:t>
            </w:r>
          </w:p>
        </w:tc>
        <w:tc>
          <w:tcPr>
            <w:tcW w:type="dxa" w:w="19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2</w:t>
            </w:r>
          </w:p>
        </w:tc>
        <w:tc>
          <w:tcPr>
            <w:tcW w:type="dxa" w:w="1846"/>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0.9152 ± 0.0082</w:t>
            </w:r>
          </w:p>
        </w:tc>
      </w:tr>
    </w:tbl>
    <w:p>
      <w:pPr>
        <w:spacing w:after="110" w:line="262"/>
        <w:jc w:val="both"/>
      </w:pPr>
      <w:r>
        <w:rPr>
          <w:rFonts w:ascii="Times New Roman" w:cs="Times New Roman" w:eastAsia="Times New Roman" w:hAnsi="Times New Roman"/>
          <w:b w:val="false"/>
          <w:bCs w:val="false"/>
          <w:i w:val="false"/>
          <w:iCs w:val="false"/>
          <w:sz w:val="20"/>
          <w:szCs w:val="20"/>
        </w:rPr>
        <w:t xml:space="preserve">Across a sixteen-fold range of hidden-layer width, from 76,262 parameters at 64/32 units to 724,742 at 512/256, test accuracy spans only 0.8903 to 0.8980. That range of 0.0077 is roughly a quarter of the 0.0286 gap to the 1D-CNN. The baseline is therefore not capacity-limited, and the gap cannot be explained by the convolutional model simply having more room to learn.</w:t>
      </w:r>
    </w:p>
    <w:p>
      <w:pPr>
        <w:spacing w:after="110" w:line="262"/>
        <w:jc w:val="both"/>
      </w:pPr>
      <w:r>
        <w:rPr>
          <w:rFonts w:ascii="Times New Roman" w:cs="Times New Roman" w:eastAsia="Times New Roman" w:hAnsi="Times New Roman"/>
          <w:b w:val="false"/>
          <w:bCs w:val="false"/>
          <w:i w:val="false"/>
          <w:iCs w:val="false"/>
          <w:sz w:val="20"/>
          <w:szCs w:val="20"/>
        </w:rPr>
        <w:t xml:space="preserve">The sweep is in fact non-monotonic in the opposite direction to the objection. The widest variant is the worst performer on test accuracy and also carries the worst validation loss of all nine, while the best raw-input variant is the half-width 128/64 configuration at 156,614 parameters. On this representation the baseline is slightly over-parameterised rather than under-parameterised, which strengthens the conclusion: giving the fully connected model more capacity does not move it toward the convolutional result, and past a point moves it away.</w:t>
      </w:r>
    </w:p>
    <w:p>
      <w:pPr>
        <w:spacing w:after="120" w:line="262"/>
        <w:jc w:val="both"/>
      </w:pPr>
      <w:r>
        <w:rPr>
          <w:rFonts w:ascii="Times New Roman" w:cs="Times New Roman" w:eastAsia="Times New Roman" w:hAnsi="Times New Roman"/>
          <w:b w:val="false"/>
          <w:bCs w:val="false"/>
          <w:i w:val="false"/>
          <w:iCs w:val="false"/>
          <w:sz w:val="20"/>
          <w:szCs w:val="20"/>
        </w:rPr>
        <w:t xml:space="preserve">The three 561-feature variants are included in the same table because they share the architecture and differ only in input. Every one of them ranks above every raw-input variant on validation loss, by a margin far larger than any width or dropout change produces within either group. Representation, not capacity, is what moves this model.</w:t>
      </w:r>
    </w:p>
    <w:p>
      <w:pPr>
        <w:spacing w:after="80" w:before="170"/>
        <w:jc w:val="center"/>
      </w:pPr>
      <w:r>
        <w:rPr>
          <w:rFonts w:ascii="Times New Roman" w:cs="Times New Roman" w:eastAsia="Times New Roman" w:hAnsi="Times New Roman"/>
          <w:smallCaps/>
          <w:sz w:val="16"/>
          <w:szCs w:val="16"/>
        </w:rPr>
        <w:t xml:space="preserve">Table V. 1D-CNN ablation, one factor varied at a time (3 seeds per variant, mean ± sample std)</w:t>
      </w:r>
    </w:p>
    <w:tbl>
      <w:tblPr>
        <w:tblW w:type="dxa" w:w="9746"/>
        <w:tblBorders>
          <w:top w:val="single" w:color="000000" w:sz="4"/>
          <w:left w:val="single" w:color="000000" w:sz="4"/>
          <w:bottom w:val="single" w:color="000000" w:sz="4"/>
          <w:right w:val="single" w:color="000000" w:sz="4"/>
          <w:insideH w:val="single" w:color="808080" w:sz="2"/>
          <w:insideV w:val="single" w:color="808080" w:sz="2"/>
        </w:tblBorders>
      </w:tblPr>
      <w:tblGrid>
        <w:gridCol w:w="2650"/>
        <w:gridCol w:w="1500"/>
        <w:gridCol w:w="1800"/>
        <w:gridCol w:w="1900"/>
        <w:gridCol w:w="1896"/>
      </w:tblGrid>
      <w:tr>
        <w:trPr>
          <w:tblHeader/>
        </w:trPr>
        <w:tc>
          <w:tcPr>
            <w:tcW w:type="dxa" w:w="2650"/>
            <w:shd w:fill="D9D9D9" w:color="auto" w:val="clear"/>
            <w:tcMar>
              <w:top w:type="dxa" w:w="50"/>
              <w:left w:type="dxa" w:w="85"/>
              <w:bottom w:type="dxa" w:w="50"/>
              <w:right w:type="dxa" w:w="85"/>
            </w:tcMar>
          </w:tcPr>
          <w:p>
            <w:pPr>
              <w:spacing w:after="0" w:line="235"/>
              <w:jc w:val="left"/>
            </w:pPr>
            <w:r>
              <w:rPr>
                <w:rFonts w:ascii="Times New Roman" w:cs="Times New Roman" w:eastAsia="Times New Roman" w:hAnsi="Times New Roman"/>
                <w:b/>
                <w:bCs/>
                <w:i w:val="false"/>
                <w:iCs w:val="false"/>
                <w:sz w:val="16"/>
                <w:szCs w:val="16"/>
              </w:rPr>
              <w:t xml:space="preserve">Variant</w:t>
            </w:r>
          </w:p>
        </w:tc>
        <w:tc>
          <w:tcPr>
            <w:tcW w:type="dxa" w:w="1500"/>
            <w:shd w:fill="D9D9D9" w:color="auto" w:val="clear"/>
            <w:tcMar>
              <w:top w:type="dxa" w:w="50"/>
              <w:left w:type="dxa" w:w="85"/>
              <w:bottom w:type="dxa" w:w="50"/>
              <w:right w:type="dxa" w:w="85"/>
            </w:tcMar>
          </w:tcPr>
          <w:p>
            <w:pPr>
              <w:spacing w:after="0" w:line="235"/>
              <w:jc w:val="center"/>
            </w:pPr>
            <w:r>
              <w:rPr>
                <w:rFonts w:ascii="Times New Roman" w:cs="Times New Roman" w:eastAsia="Times New Roman" w:hAnsi="Times New Roman"/>
                <w:b/>
                <w:bCs/>
                <w:i w:val="false"/>
                <w:iCs w:val="false"/>
                <w:sz w:val="16"/>
                <w:szCs w:val="16"/>
              </w:rPr>
              <w:t xml:space="preserve">Parameters</w:t>
            </w:r>
          </w:p>
        </w:tc>
        <w:tc>
          <w:tcPr>
            <w:tcW w:type="dxa" w:w="1800"/>
            <w:shd w:fill="D9D9D9" w:color="auto" w:val="clear"/>
            <w:tcMar>
              <w:top w:type="dxa" w:w="50"/>
              <w:left w:type="dxa" w:w="85"/>
              <w:bottom w:type="dxa" w:w="50"/>
              <w:right w:type="dxa" w:w="85"/>
            </w:tcMar>
          </w:tcPr>
          <w:p>
            <w:pPr>
              <w:spacing w:after="0" w:line="235"/>
              <w:jc w:val="center"/>
            </w:pPr>
            <w:r>
              <w:rPr>
                <w:rFonts w:ascii="Times New Roman" w:cs="Times New Roman" w:eastAsia="Times New Roman" w:hAnsi="Times New Roman"/>
                <w:b/>
                <w:bCs/>
                <w:i w:val="false"/>
                <w:iCs w:val="false"/>
                <w:sz w:val="16"/>
                <w:szCs w:val="16"/>
              </w:rPr>
              <w:t xml:space="preserve">Validation loss</w:t>
            </w:r>
          </w:p>
        </w:tc>
        <w:tc>
          <w:tcPr>
            <w:tcW w:type="dxa" w:w="1900"/>
            <w:shd w:fill="D9D9D9" w:color="auto" w:val="clear"/>
            <w:tcMar>
              <w:top w:type="dxa" w:w="50"/>
              <w:left w:type="dxa" w:w="85"/>
              <w:bottom w:type="dxa" w:w="50"/>
              <w:right w:type="dxa" w:w="85"/>
            </w:tcMar>
          </w:tcPr>
          <w:p>
            <w:pPr>
              <w:spacing w:after="0" w:line="235"/>
              <w:jc w:val="center"/>
            </w:pPr>
            <w:r>
              <w:rPr>
                <w:rFonts w:ascii="Times New Roman" w:cs="Times New Roman" w:eastAsia="Times New Roman" w:hAnsi="Times New Roman"/>
                <w:b/>
                <w:bCs/>
                <w:i w:val="false"/>
                <w:iCs w:val="false"/>
                <w:sz w:val="16"/>
                <w:szCs w:val="16"/>
              </w:rPr>
              <w:t xml:space="preserve">Val. rank</w:t>
            </w:r>
          </w:p>
        </w:tc>
        <w:tc>
          <w:tcPr>
            <w:tcW w:type="dxa" w:w="1896"/>
            <w:shd w:fill="D9D9D9" w:color="auto" w:val="clear"/>
            <w:tcMar>
              <w:top w:type="dxa" w:w="50"/>
              <w:left w:type="dxa" w:w="85"/>
              <w:bottom w:type="dxa" w:w="50"/>
              <w:right w:type="dxa" w:w="85"/>
            </w:tcMar>
          </w:tcPr>
          <w:p>
            <w:pPr>
              <w:spacing w:after="0" w:line="235"/>
              <w:jc w:val="center"/>
            </w:pPr>
            <w:r>
              <w:rPr>
                <w:rFonts w:ascii="Times New Roman" w:cs="Times New Roman" w:eastAsia="Times New Roman" w:hAnsi="Times New Roman"/>
                <w:b/>
                <w:bCs/>
                <w:i w:val="false"/>
                <w:iCs w:val="false"/>
                <w:sz w:val="16"/>
                <w:szCs w:val="16"/>
              </w:rPr>
              <w:t xml:space="preserve">Test accuracy</w:t>
            </w:r>
          </w:p>
        </w:tc>
      </w:tr>
      <w:tr>
        <w:trPr>
          <w:cantSplit/>
        </w:trPr>
        <w:tc>
          <w:tcPr>
            <w:tcW w:type="dxa" w:w="2650"/>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base (k=7/5/5, w=64/128/128, p=0.3)</w:t>
            </w:r>
          </w:p>
        </w:tc>
        <w:tc>
          <w:tcPr>
            <w:tcW w:type="dxa" w:w="15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128,646</w:t>
            </w:r>
          </w:p>
        </w:tc>
        <w:tc>
          <w:tcPr>
            <w:tcW w:type="dxa" w:w="18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0.4130 ± 0.0136</w:t>
            </w:r>
          </w:p>
        </w:tc>
        <w:tc>
          <w:tcPr>
            <w:tcW w:type="dxa" w:w="19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2</w:t>
            </w:r>
          </w:p>
        </w:tc>
        <w:tc>
          <w:tcPr>
            <w:tcW w:type="dxa" w:w="1896"/>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0.9234 ± 0.0057</w:t>
            </w:r>
          </w:p>
        </w:tc>
      </w:tr>
      <w:tr>
        <w:trPr>
          <w:cantSplit/>
        </w:trPr>
        <w:tc>
          <w:tcPr>
            <w:tcW w:type="dxa" w:w="2650"/>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kernels 3/3/3</w:t>
            </w:r>
          </w:p>
        </w:tc>
        <w:tc>
          <w:tcPr>
            <w:tcW w:type="dxa" w:w="15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77,190</w:t>
            </w:r>
          </w:p>
        </w:tc>
        <w:tc>
          <w:tcPr>
            <w:tcW w:type="dxa" w:w="18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0.4233 ± 0.0147</w:t>
            </w:r>
          </w:p>
        </w:tc>
        <w:tc>
          <w:tcPr>
            <w:tcW w:type="dxa" w:w="19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6</w:t>
            </w:r>
          </w:p>
        </w:tc>
        <w:tc>
          <w:tcPr>
            <w:tcW w:type="dxa" w:w="1896"/>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0.9191 ± 0.0038</w:t>
            </w:r>
          </w:p>
        </w:tc>
      </w:tr>
      <w:tr>
        <w:trPr>
          <w:cantSplit/>
        </w:trPr>
        <w:tc>
          <w:tcPr>
            <w:tcW w:type="dxa" w:w="2650"/>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kernels 5/5/5</w:t>
            </w:r>
          </w:p>
        </w:tc>
        <w:tc>
          <w:tcPr>
            <w:tcW w:type="dxa" w:w="15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127,494</w:t>
            </w:r>
          </w:p>
        </w:tc>
        <w:tc>
          <w:tcPr>
            <w:tcW w:type="dxa" w:w="18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0.4065 ± 0.0106</w:t>
            </w:r>
          </w:p>
        </w:tc>
        <w:tc>
          <w:tcPr>
            <w:tcW w:type="dxa" w:w="19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1</w:t>
            </w:r>
          </w:p>
        </w:tc>
        <w:tc>
          <w:tcPr>
            <w:tcW w:type="dxa" w:w="1896"/>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0.9187 ± 0.0064</w:t>
            </w:r>
          </w:p>
        </w:tc>
      </w:tr>
      <w:tr>
        <w:trPr>
          <w:cantSplit/>
        </w:trPr>
        <w:tc>
          <w:tcPr>
            <w:tcW w:type="dxa" w:w="2650"/>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kernels 11/7/7</w:t>
            </w:r>
          </w:p>
        </w:tc>
        <w:tc>
          <w:tcPr>
            <w:tcW w:type="dxa" w:w="15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180,102</w:t>
            </w:r>
          </w:p>
        </w:tc>
        <w:tc>
          <w:tcPr>
            <w:tcW w:type="dxa" w:w="18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0.4227 ± 0.0170</w:t>
            </w:r>
          </w:p>
        </w:tc>
        <w:tc>
          <w:tcPr>
            <w:tcW w:type="dxa" w:w="19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5</w:t>
            </w:r>
          </w:p>
        </w:tc>
        <w:tc>
          <w:tcPr>
            <w:tcW w:type="dxa" w:w="1896"/>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0.9258 ± 0.0112</w:t>
            </w:r>
          </w:p>
        </w:tc>
      </w:tr>
      <w:tr>
        <w:trPr>
          <w:cantSplit/>
        </w:trPr>
        <w:tc>
          <w:tcPr>
            <w:tcW w:type="dxa" w:w="2650"/>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width 32/64/64 (half)</w:t>
            </w:r>
          </w:p>
        </w:tc>
        <w:tc>
          <w:tcPr>
            <w:tcW w:type="dxa" w:w="15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33,606</w:t>
            </w:r>
          </w:p>
        </w:tc>
        <w:tc>
          <w:tcPr>
            <w:tcW w:type="dxa" w:w="18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0.4259 ± 0.0307</w:t>
            </w:r>
          </w:p>
        </w:tc>
        <w:tc>
          <w:tcPr>
            <w:tcW w:type="dxa" w:w="19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8</w:t>
            </w:r>
          </w:p>
        </w:tc>
        <w:tc>
          <w:tcPr>
            <w:tcW w:type="dxa" w:w="1896"/>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0.9230 ± 0.0006</w:t>
            </w:r>
          </w:p>
        </w:tc>
      </w:tr>
      <w:tr>
        <w:trPr>
          <w:cantSplit/>
        </w:trPr>
        <w:tc>
          <w:tcPr>
            <w:tcW w:type="dxa" w:w="2650"/>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width 128/256/256 (double)</w:t>
            </w:r>
          </w:p>
        </w:tc>
        <w:tc>
          <w:tcPr>
            <w:tcW w:type="dxa" w:w="15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503,046</w:t>
            </w:r>
          </w:p>
        </w:tc>
        <w:tc>
          <w:tcPr>
            <w:tcW w:type="dxa" w:w="18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0.4149 ± 0.0120</w:t>
            </w:r>
          </w:p>
        </w:tc>
        <w:tc>
          <w:tcPr>
            <w:tcW w:type="dxa" w:w="19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3</w:t>
            </w:r>
          </w:p>
        </w:tc>
        <w:tc>
          <w:tcPr>
            <w:tcW w:type="dxa" w:w="1896"/>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0.9164 ± 0.0068</w:t>
            </w:r>
          </w:p>
        </w:tc>
      </w:tr>
      <w:tr>
        <w:trPr>
          <w:cantSplit/>
        </w:trPr>
        <w:tc>
          <w:tcPr>
            <w:tcW w:type="dxa" w:w="2650"/>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dropout 0.0</w:t>
            </w:r>
          </w:p>
        </w:tc>
        <w:tc>
          <w:tcPr>
            <w:tcW w:type="dxa" w:w="15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128,646</w:t>
            </w:r>
          </w:p>
        </w:tc>
        <w:tc>
          <w:tcPr>
            <w:tcW w:type="dxa" w:w="18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0.4242 ± 0.0183</w:t>
            </w:r>
          </w:p>
        </w:tc>
        <w:tc>
          <w:tcPr>
            <w:tcW w:type="dxa" w:w="19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7</w:t>
            </w:r>
          </w:p>
        </w:tc>
        <w:tc>
          <w:tcPr>
            <w:tcW w:type="dxa" w:w="1896"/>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0.9266 ± 0.0048</w:t>
            </w:r>
          </w:p>
        </w:tc>
      </w:tr>
      <w:tr>
        <w:trPr>
          <w:cantSplit/>
        </w:trPr>
        <w:tc>
          <w:tcPr>
            <w:tcW w:type="dxa" w:w="2650"/>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dropout 0.5</w:t>
            </w:r>
          </w:p>
        </w:tc>
        <w:tc>
          <w:tcPr>
            <w:tcW w:type="dxa" w:w="15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128,646</w:t>
            </w:r>
          </w:p>
        </w:tc>
        <w:tc>
          <w:tcPr>
            <w:tcW w:type="dxa" w:w="18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0.4156 ± 0.0104</w:t>
            </w:r>
          </w:p>
        </w:tc>
        <w:tc>
          <w:tcPr>
            <w:tcW w:type="dxa" w:w="19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4</w:t>
            </w:r>
          </w:p>
        </w:tc>
        <w:tc>
          <w:tcPr>
            <w:tcW w:type="dxa" w:w="1896"/>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0.9196 ± 0.0028</w:t>
            </w:r>
          </w:p>
        </w:tc>
      </w:tr>
    </w:tbl>
    <w:p>
      <w:pPr>
        <w:spacing w:after="120" w:line="262"/>
        <w:jc w:val="both"/>
      </w:pPr>
      <w:r>
        <w:rPr>
          <w:rFonts w:ascii="Times New Roman" w:cs="Times New Roman" w:eastAsia="Times New Roman" w:hAnsi="Times New Roman"/>
          <w:b w:val="false"/>
          <w:bCs w:val="false"/>
          <w:i w:val="false"/>
          <w:iCs w:val="false"/>
          <w:sz w:val="20"/>
          <w:szCs w:val="20"/>
        </w:rPr>
        <w:t xml:space="preserve">The convolutional ablation carries a methodological result worth stating plainly. Variants were ranked by mean validation loss, the criterion actually used for model selection, with test accuracy reported but never consulted. The two rankings disagree: the kernel 5/5/5 variant has the best validation loss of all eight but only the sixth-best test accuracy, while dropout 0.0 has the second-worst validation loss and the best test accuracy. Halving the width to 33,606 parameters costs almost nothing in test accuracy. Selecting on test accuracy would have produced a different and unjustifiable architecture, and the disagreement is a concrete demonstration of why the test set was kept out of every selection decision in this project.</w:t>
      </w:r>
    </w:p>
    <w:p>
      <w:pPr>
        <w:spacing w:after="90" w:before="190"/>
        <w:jc w:val="left"/>
      </w:pPr>
      <w:r>
        <w:rPr>
          <w:rFonts w:ascii="Times New Roman" w:cs="Times New Roman" w:eastAsia="Times New Roman" w:hAnsi="Times New Roman"/>
          <w:i/>
          <w:iCs/>
          <w:sz w:val="20"/>
          <w:szCs w:val="20"/>
        </w:rPr>
        <w:t xml:space="preserve">C. Representation versus Architecture</w:t>
      </w:r>
    </w:p>
    <w:p>
      <w:pPr>
        <w:spacing w:after="80" w:before="170"/>
        <w:jc w:val="center"/>
      </w:pPr>
      <w:r>
        <w:rPr>
          <w:rFonts w:ascii="Times New Roman" w:cs="Times New Roman" w:eastAsia="Times New Roman" w:hAnsi="Times New Roman"/>
          <w:smallCaps/>
          <w:sz w:val="16"/>
          <w:szCs w:val="16"/>
        </w:rPr>
        <w:t xml:space="preserve">Table III. The same MLP architecture on two input representations (5 seeds, mean ± sample std)</w:t>
      </w:r>
    </w:p>
    <w:tbl>
      <w:tblPr>
        <w:tblW w:type="dxa" w:w="9746"/>
        <w:tblBorders>
          <w:top w:val="single" w:color="000000" w:sz="4"/>
          <w:left w:val="single" w:color="000000" w:sz="4"/>
          <w:bottom w:val="single" w:color="000000" w:sz="4"/>
          <w:right w:val="single" w:color="000000" w:sz="4"/>
          <w:insideH w:val="single" w:color="808080" w:sz="2"/>
          <w:insideV w:val="single" w:color="808080" w:sz="2"/>
        </w:tblBorders>
      </w:tblPr>
      <w:tblGrid>
        <w:gridCol w:w="2400"/>
        <w:gridCol w:w="2200"/>
        <w:gridCol w:w="1800"/>
        <w:gridCol w:w="1800"/>
        <w:gridCol w:w="1546"/>
      </w:tblGrid>
      <w:tr>
        <w:trPr>
          <w:tblHeader/>
        </w:trPr>
        <w:tc>
          <w:tcPr>
            <w:tcW w:type="dxa" w:w="2400"/>
            <w:shd w:fill="D9D9D9" w:color="auto" w:val="clear"/>
            <w:tcMar>
              <w:top w:type="dxa" w:w="50"/>
              <w:left w:type="dxa" w:w="85"/>
              <w:bottom w:type="dxa" w:w="50"/>
              <w:right w:type="dxa" w:w="85"/>
            </w:tcMar>
          </w:tcPr>
          <w:p>
            <w:pPr>
              <w:spacing w:after="0" w:line="235"/>
              <w:jc w:val="left"/>
            </w:pPr>
            <w:r>
              <w:rPr>
                <w:rFonts w:ascii="Times New Roman" w:cs="Times New Roman" w:eastAsia="Times New Roman" w:hAnsi="Times New Roman"/>
                <w:b/>
                <w:bCs/>
                <w:i w:val="false"/>
                <w:iCs w:val="false"/>
                <w:sz w:val="16"/>
                <w:szCs w:val="16"/>
              </w:rPr>
              <w:t xml:space="preserve">Architecture</w:t>
            </w:r>
          </w:p>
        </w:tc>
        <w:tc>
          <w:tcPr>
            <w:tcW w:type="dxa" w:w="2200"/>
            <w:shd w:fill="D9D9D9" w:color="auto" w:val="clear"/>
            <w:tcMar>
              <w:top w:type="dxa" w:w="50"/>
              <w:left w:type="dxa" w:w="85"/>
              <w:bottom w:type="dxa" w:w="50"/>
              <w:right w:type="dxa" w:w="85"/>
            </w:tcMar>
          </w:tcPr>
          <w:p>
            <w:pPr>
              <w:spacing w:after="0" w:line="235"/>
              <w:jc w:val="left"/>
            </w:pPr>
            <w:r>
              <w:rPr>
                <w:rFonts w:ascii="Times New Roman" w:cs="Times New Roman" w:eastAsia="Times New Roman" w:hAnsi="Times New Roman"/>
                <w:b/>
                <w:bCs/>
                <w:i w:val="false"/>
                <w:iCs w:val="false"/>
                <w:sz w:val="16"/>
                <w:szCs w:val="16"/>
              </w:rPr>
              <w:t xml:space="preserve">Input representation</w:t>
            </w:r>
          </w:p>
        </w:tc>
        <w:tc>
          <w:tcPr>
            <w:tcW w:type="dxa" w:w="1800"/>
            <w:shd w:fill="D9D9D9" w:color="auto" w:val="clear"/>
            <w:tcMar>
              <w:top w:type="dxa" w:w="50"/>
              <w:left w:type="dxa" w:w="85"/>
              <w:bottom w:type="dxa" w:w="50"/>
              <w:right w:type="dxa" w:w="85"/>
            </w:tcMar>
          </w:tcPr>
          <w:p>
            <w:pPr>
              <w:spacing w:after="0" w:line="235"/>
              <w:jc w:val="center"/>
            </w:pPr>
            <w:r>
              <w:rPr>
                <w:rFonts w:ascii="Times New Roman" w:cs="Times New Roman" w:eastAsia="Times New Roman" w:hAnsi="Times New Roman"/>
                <w:b/>
                <w:bCs/>
                <w:i w:val="false"/>
                <w:iCs w:val="false"/>
                <w:sz w:val="16"/>
                <w:szCs w:val="16"/>
              </w:rPr>
              <w:t xml:space="preserve">Parameters</w:t>
            </w:r>
          </w:p>
        </w:tc>
        <w:tc>
          <w:tcPr>
            <w:tcW w:type="dxa" w:w="1800"/>
            <w:shd w:fill="D9D9D9" w:color="auto" w:val="clear"/>
            <w:tcMar>
              <w:top w:type="dxa" w:w="50"/>
              <w:left w:type="dxa" w:w="85"/>
              <w:bottom w:type="dxa" w:w="50"/>
              <w:right w:type="dxa" w:w="85"/>
            </w:tcMar>
          </w:tcPr>
          <w:p>
            <w:pPr>
              <w:spacing w:after="0" w:line="235"/>
              <w:jc w:val="center"/>
            </w:pPr>
            <w:r>
              <w:rPr>
                <w:rFonts w:ascii="Times New Roman" w:cs="Times New Roman" w:eastAsia="Times New Roman" w:hAnsi="Times New Roman"/>
                <w:b/>
                <w:bCs/>
                <w:i w:val="false"/>
                <w:iCs w:val="false"/>
                <w:sz w:val="16"/>
                <w:szCs w:val="16"/>
              </w:rPr>
              <w:t xml:space="preserve">Test accuracy</w:t>
            </w:r>
          </w:p>
        </w:tc>
        <w:tc>
          <w:tcPr>
            <w:tcW w:type="dxa" w:w="1546"/>
            <w:shd w:fill="D9D9D9" w:color="auto" w:val="clear"/>
            <w:tcMar>
              <w:top w:type="dxa" w:w="50"/>
              <w:left w:type="dxa" w:w="85"/>
              <w:bottom w:type="dxa" w:w="50"/>
              <w:right w:type="dxa" w:w="85"/>
            </w:tcMar>
          </w:tcPr>
          <w:p>
            <w:pPr>
              <w:spacing w:after="0" w:line="235"/>
              <w:jc w:val="center"/>
            </w:pPr>
            <w:r>
              <w:rPr>
                <w:rFonts w:ascii="Times New Roman" w:cs="Times New Roman" w:eastAsia="Times New Roman" w:hAnsi="Times New Roman"/>
                <w:b/>
                <w:bCs/>
                <w:i w:val="false"/>
                <w:iCs w:val="false"/>
                <w:sz w:val="16"/>
                <w:szCs w:val="16"/>
              </w:rPr>
              <w:t xml:space="preserve">Macro-F1</w:t>
            </w:r>
          </w:p>
        </w:tc>
      </w:tr>
      <w:tr>
        <w:trPr>
          <w:cantSplit/>
        </w:trPr>
        <w:tc>
          <w:tcPr>
            <w:tcW w:type="dxa" w:w="2400"/>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MLP</w:t>
            </w:r>
          </w:p>
        </w:tc>
        <w:tc>
          <w:tcPr>
            <w:tcW w:type="dxa" w:w="2200"/>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Raw 128 x 9 window</w:t>
            </w:r>
          </w:p>
        </w:tc>
        <w:tc>
          <w:tcPr>
            <w:tcW w:type="dxa" w:w="18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329,606</w:t>
            </w:r>
          </w:p>
        </w:tc>
        <w:tc>
          <w:tcPr>
            <w:tcW w:type="dxa" w:w="18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0.8925 ± 0.0087</w:t>
            </w:r>
          </w:p>
        </w:tc>
        <w:tc>
          <w:tcPr>
            <w:tcW w:type="dxa" w:w="1546"/>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0.8930 ± 0.0084</w:t>
            </w:r>
          </w:p>
        </w:tc>
      </w:tr>
      <w:tr>
        <w:trPr>
          <w:cantSplit/>
        </w:trPr>
        <w:tc>
          <w:tcPr>
            <w:tcW w:type="dxa" w:w="2400"/>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MLP</w:t>
            </w:r>
          </w:p>
        </w:tc>
        <w:tc>
          <w:tcPr>
            <w:tcW w:type="dxa" w:w="2200"/>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561 hand-crafted features</w:t>
            </w:r>
          </w:p>
        </w:tc>
        <w:tc>
          <w:tcPr>
            <w:tcW w:type="dxa" w:w="18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178,310</w:t>
            </w:r>
          </w:p>
        </w:tc>
        <w:tc>
          <w:tcPr>
            <w:tcW w:type="dxa" w:w="18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0.9170 ± 0.0067</w:t>
            </w:r>
          </w:p>
        </w:tc>
        <w:tc>
          <w:tcPr>
            <w:tcW w:type="dxa" w:w="1546"/>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0.9178 ± 0.0072</w:t>
            </w:r>
          </w:p>
        </w:tc>
      </w:tr>
      <w:tr>
        <w:trPr>
          <w:cantSplit/>
        </w:trPr>
        <w:tc>
          <w:tcPr>
            <w:tcW w:type="dxa" w:w="2400"/>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1D-CNN (reference)</w:t>
            </w:r>
          </w:p>
        </w:tc>
        <w:tc>
          <w:tcPr>
            <w:tcW w:type="dxa" w:w="2200"/>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Raw 128 x 9 window</w:t>
            </w:r>
          </w:p>
        </w:tc>
        <w:tc>
          <w:tcPr>
            <w:tcW w:type="dxa" w:w="18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128,646</w:t>
            </w:r>
          </w:p>
        </w:tc>
        <w:tc>
          <w:tcPr>
            <w:tcW w:type="dxa" w:w="18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0.9211 ± 0.0065</w:t>
            </w:r>
          </w:p>
        </w:tc>
        <w:tc>
          <w:tcPr>
            <w:tcW w:type="dxa" w:w="1546"/>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0.9212 ± 0.0065</w:t>
            </w:r>
          </w:p>
        </w:tc>
      </w:tr>
    </w:tbl>
    <w:p>
      <w:pPr>
        <w:spacing w:after="110" w:line="262"/>
        <w:jc w:val="both"/>
      </w:pPr>
      <w:r>
        <w:rPr>
          <w:rFonts w:ascii="Times New Roman" w:cs="Times New Roman" w:eastAsia="Times New Roman" w:hAnsi="Times New Roman"/>
          <w:b w:val="false"/>
          <w:bCs w:val="false"/>
          <w:i w:val="false"/>
          <w:iCs w:val="false"/>
          <w:sz w:val="20"/>
          <w:szCs w:val="20"/>
        </w:rPr>
        <w:t xml:space="preserve">Changing only the input representation, with the architecture, optimiser settings, subjects and seeds all held fixed, moves the baseline from 0.8925 to 0.9170, a gain of 0.0245. That single change recovers roughly six-sevenths of the 0.0286 gap between the fully connected baseline and the convolutional model.</w:t>
      </w:r>
    </w:p>
    <w:p>
      <w:pPr>
        <w:spacing w:after="110" w:line="262"/>
        <w:jc w:val="both"/>
      </w:pPr>
      <w:r>
        <w:rPr>
          <w:rFonts w:ascii="Times New Roman" w:cs="Times New Roman" w:eastAsia="Times New Roman" w:hAnsi="Times New Roman"/>
          <w:b w:val="false"/>
          <w:bCs w:val="false"/>
          <w:i w:val="false"/>
          <w:iCs w:val="false"/>
          <w:sz w:val="20"/>
          <w:szCs w:val="20"/>
        </w:rPr>
        <w:t xml:space="preserve">The comparison with the 1D-CNN is the informative part. At 0.9170 ± 0.0067 against 0.9211 ± 0.0065, the feature-based baseline and the convolutional model are statistically indistinguishable: the difference of 0.0041 is smaller than either standard deviation. What the convolutional architecture achieves by learning from raw signals, a fully connected network achieves from descriptors that domain experts designed by hand. Neither is clearly better on accuracy, but they are not equivalent in what they require: the CNN reaches that level with 128,646 parameters against 178,310, and with no feature engineering at all, from the signal as the sensor produces it. That is the practical argument for the convolutional prior. Not that it wins, but that it arrives at the same place without the expert step.</w:t>
      </w:r>
    </w:p>
    <w:p>
      <w:pPr>
        <w:spacing w:after="120" w:line="262"/>
        <w:jc w:val="both"/>
      </w:pPr>
      <w:r>
        <w:rPr>
          <w:rFonts w:ascii="Times New Roman" w:cs="Times New Roman" w:eastAsia="Times New Roman" w:hAnsi="Times New Roman"/>
          <w:b w:val="false"/>
          <w:bCs w:val="false"/>
          <w:i w:val="false"/>
          <w:iCs w:val="false"/>
          <w:sz w:val="20"/>
          <w:szCs w:val="20"/>
        </w:rPr>
        <w:t xml:space="preserve">An earlier single-seed run placed the feature-based model at 0.9253, above the convolutional result. Five seeds place it at 0.9170, below. The reversal sits within seed variation and is recorded here because it is the clearest illustration in this project of why the single-run figures reported at the interim stage were not sufficient to order models.</w:t>
      </w:r>
    </w:p>
    <w:p>
      <w:pPr>
        <w:spacing w:after="90" w:before="190"/>
        <w:jc w:val="left"/>
      </w:pPr>
      <w:r>
        <w:rPr>
          <w:rFonts w:ascii="Times New Roman" w:cs="Times New Roman" w:eastAsia="Times New Roman" w:hAnsi="Times New Roman"/>
          <w:i/>
          <w:iCs/>
          <w:sz w:val="20"/>
          <w:szCs w:val="20"/>
        </w:rPr>
        <w:t xml:space="preserve">D. Robustness of the Evaluation</w:t>
      </w:r>
    </w:p>
    <w:p>
      <w:pPr>
        <w:spacing w:after="110" w:line="262"/>
        <w:jc w:val="both"/>
      </w:pPr>
      <w:r>
        <w:rPr>
          <w:rFonts w:ascii="Times New Roman" w:cs="Times New Roman" w:eastAsia="Times New Roman" w:hAnsi="Times New Roman"/>
          <w:b w:val="false"/>
          <w:bCs w:val="false"/>
          <w:i w:val="false"/>
          <w:iCs w:val="false"/>
          <w:sz w:val="20"/>
          <w:szCs w:val="20"/>
        </w:rPr>
        <w:t xml:space="preserve">Two further experiments test whether the comparison depends on the particular split chosen.</w:t>
      </w:r>
    </w:p>
    <w:p>
      <w:pPr>
        <w:spacing w:after="110" w:line="262"/>
        <w:jc w:val="both"/>
      </w:pPr>
      <w:r>
        <w:rPr>
          <w:rFonts w:ascii="Times New Roman" w:cs="Times New Roman" w:eastAsia="Times New Roman" w:hAnsi="Times New Roman"/>
          <w:b w:val="false"/>
          <w:bCs w:val="false"/>
          <w:i w:val="false"/>
          <w:iCs w:val="false"/>
          <w:sz w:val="20"/>
          <w:szCs w:val="20"/>
        </w:rPr>
        <w:t xml:space="preserve">A validation-subject sensitivity study resampled the four held-out validation subjects and retrained the CNN. The stopping epoch proved extremely unstable, at 13.3 ± 11.2 across resamples, and validation accuracy varied by ± 0.046, while test accuracy stayed at 0.9287 ± 0.0138. The mean difference between validation and test accuracy was +0.002. This explains the anomalously early stopping epoch, between 4 and 6, observed throughout the main results: the fixed validation subjects 8, 16, 23 and 29 happen to form a set on which validation loss bottoms out early. Because test accuracy is an order of magnitude more stable than the stopping epoch, the comparison is not materially affected, but the stopping epoch itself should not be read as a property of the architectures.</w:t>
      </w:r>
    </w:p>
    <w:p>
      <w:pPr>
        <w:spacing w:after="80" w:before="170"/>
        <w:jc w:val="center"/>
      </w:pPr>
      <w:r>
        <w:rPr>
          <w:rFonts w:ascii="Times New Roman" w:cs="Times New Roman" w:eastAsia="Times New Roman" w:hAnsi="Times New Roman"/>
          <w:smallCaps/>
          <w:sz w:val="16"/>
          <w:szCs w:val="16"/>
        </w:rPr>
        <w:t xml:space="preserve">Table VI. Leave-one-subject-out cross-validation over all 30 volunteers</w:t>
      </w:r>
    </w:p>
    <w:tbl>
      <w:tblPr>
        <w:tblW w:type="dxa" w:w="9746"/>
        <w:tblBorders>
          <w:top w:val="single" w:color="000000" w:sz="4"/>
          <w:left w:val="single" w:color="000000" w:sz="4"/>
          <w:bottom w:val="single" w:color="000000" w:sz="4"/>
          <w:right w:val="single" w:color="000000" w:sz="4"/>
          <w:insideH w:val="single" w:color="808080" w:sz="2"/>
          <w:insideV w:val="single" w:color="808080" w:sz="2"/>
        </w:tblBorders>
      </w:tblPr>
      <w:tblGrid>
        <w:gridCol w:w="2200"/>
        <w:gridCol w:w="1900"/>
        <w:gridCol w:w="1900"/>
        <w:gridCol w:w="1900"/>
        <w:gridCol w:w="1846"/>
      </w:tblGrid>
      <w:tr>
        <w:trPr>
          <w:tblHeader/>
        </w:trPr>
        <w:tc>
          <w:tcPr>
            <w:tcW w:type="dxa" w:w="2200"/>
            <w:shd w:fill="D9D9D9" w:color="auto" w:val="clear"/>
            <w:tcMar>
              <w:top w:type="dxa" w:w="50"/>
              <w:left w:type="dxa" w:w="85"/>
              <w:bottom w:type="dxa" w:w="50"/>
              <w:right w:type="dxa" w:w="85"/>
            </w:tcMar>
          </w:tcPr>
          <w:p>
            <w:pPr>
              <w:spacing w:after="0" w:line="235"/>
              <w:jc w:val="left"/>
            </w:pPr>
            <w:r>
              <w:rPr>
                <w:rFonts w:ascii="Times New Roman" w:cs="Times New Roman" w:eastAsia="Times New Roman" w:hAnsi="Times New Roman"/>
                <w:b/>
                <w:bCs/>
                <w:i w:val="false"/>
                <w:iCs w:val="false"/>
                <w:sz w:val="16"/>
                <w:szCs w:val="16"/>
              </w:rPr>
              <w:t xml:space="preserve">Model</w:t>
            </w:r>
          </w:p>
        </w:tc>
        <w:tc>
          <w:tcPr>
            <w:tcW w:type="dxa" w:w="1900"/>
            <w:shd w:fill="D9D9D9" w:color="auto" w:val="clear"/>
            <w:tcMar>
              <w:top w:type="dxa" w:w="50"/>
              <w:left w:type="dxa" w:w="85"/>
              <w:bottom w:type="dxa" w:w="50"/>
              <w:right w:type="dxa" w:w="85"/>
            </w:tcMar>
          </w:tcPr>
          <w:p>
            <w:pPr>
              <w:spacing w:after="0" w:line="235"/>
              <w:jc w:val="center"/>
            </w:pPr>
            <w:r>
              <w:rPr>
                <w:rFonts w:ascii="Times New Roman" w:cs="Times New Roman" w:eastAsia="Times New Roman" w:hAnsi="Times New Roman"/>
                <w:b/>
                <w:bCs/>
                <w:i w:val="false"/>
                <w:iCs w:val="false"/>
                <w:sz w:val="16"/>
                <w:szCs w:val="16"/>
              </w:rPr>
              <w:t xml:space="preserve">Pooled accuracy</w:t>
            </w:r>
          </w:p>
        </w:tc>
        <w:tc>
          <w:tcPr>
            <w:tcW w:type="dxa" w:w="1900"/>
            <w:shd w:fill="D9D9D9" w:color="auto" w:val="clear"/>
            <w:tcMar>
              <w:top w:type="dxa" w:w="50"/>
              <w:left w:type="dxa" w:w="85"/>
              <w:bottom w:type="dxa" w:w="50"/>
              <w:right w:type="dxa" w:w="85"/>
            </w:tcMar>
          </w:tcPr>
          <w:p>
            <w:pPr>
              <w:spacing w:after="0" w:line="235"/>
              <w:jc w:val="center"/>
            </w:pPr>
            <w:r>
              <w:rPr>
                <w:rFonts w:ascii="Times New Roman" w:cs="Times New Roman" w:eastAsia="Times New Roman" w:hAnsi="Times New Roman"/>
                <w:b/>
                <w:bCs/>
                <w:i w:val="false"/>
                <w:iCs w:val="false"/>
                <w:sz w:val="16"/>
                <w:szCs w:val="16"/>
              </w:rPr>
              <w:t xml:space="preserve">Per-subject accuracy</w:t>
            </w:r>
          </w:p>
        </w:tc>
        <w:tc>
          <w:tcPr>
            <w:tcW w:type="dxa" w:w="1900"/>
            <w:shd w:fill="D9D9D9" w:color="auto" w:val="clear"/>
            <w:tcMar>
              <w:top w:type="dxa" w:w="50"/>
              <w:left w:type="dxa" w:w="85"/>
              <w:bottom w:type="dxa" w:w="50"/>
              <w:right w:type="dxa" w:w="85"/>
            </w:tcMar>
          </w:tcPr>
          <w:p>
            <w:pPr>
              <w:spacing w:after="0" w:line="235"/>
              <w:jc w:val="center"/>
            </w:pPr>
            <w:r>
              <w:rPr>
                <w:rFonts w:ascii="Times New Roman" w:cs="Times New Roman" w:eastAsia="Times New Roman" w:hAnsi="Times New Roman"/>
                <w:b/>
                <w:bCs/>
                <w:i w:val="false"/>
                <w:iCs w:val="false"/>
                <w:sz w:val="16"/>
                <w:szCs w:val="16"/>
              </w:rPr>
              <w:t xml:space="preserve">Pooled macro-F1</w:t>
            </w:r>
          </w:p>
        </w:tc>
        <w:tc>
          <w:tcPr>
            <w:tcW w:type="dxa" w:w="1846"/>
            <w:shd w:fill="D9D9D9" w:color="auto" w:val="clear"/>
            <w:tcMar>
              <w:top w:type="dxa" w:w="50"/>
              <w:left w:type="dxa" w:w="85"/>
              <w:bottom w:type="dxa" w:w="50"/>
              <w:right w:type="dxa" w:w="85"/>
            </w:tcMar>
          </w:tcPr>
          <w:p>
            <w:pPr>
              <w:spacing w:after="0" w:line="235"/>
              <w:jc w:val="center"/>
            </w:pPr>
            <w:r>
              <w:rPr>
                <w:rFonts w:ascii="Times New Roman" w:cs="Times New Roman" w:eastAsia="Times New Roman" w:hAnsi="Times New Roman"/>
                <w:b/>
                <w:bCs/>
                <w:i w:val="false"/>
                <w:iCs w:val="false"/>
                <w:sz w:val="16"/>
                <w:szCs w:val="16"/>
              </w:rPr>
              <w:t xml:space="preserve">Best epoch</w:t>
            </w:r>
          </w:p>
        </w:tc>
      </w:tr>
      <w:tr>
        <w:trPr>
          <w:cantSplit/>
        </w:trPr>
        <w:tc>
          <w:tcPr>
            <w:tcW w:type="dxa" w:w="2200"/>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1D-CNN</w:t>
            </w:r>
          </w:p>
        </w:tc>
        <w:tc>
          <w:tcPr>
            <w:tcW w:type="dxa" w:w="19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0.9400</w:t>
            </w:r>
          </w:p>
        </w:tc>
        <w:tc>
          <w:tcPr>
            <w:tcW w:type="dxa" w:w="19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0.9380 ± 0.0688</w:t>
            </w:r>
          </w:p>
        </w:tc>
        <w:tc>
          <w:tcPr>
            <w:tcW w:type="dxa" w:w="19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0.9430</w:t>
            </w:r>
          </w:p>
        </w:tc>
        <w:tc>
          <w:tcPr>
            <w:tcW w:type="dxa" w:w="1846"/>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21.3</w:t>
            </w:r>
          </w:p>
        </w:tc>
      </w:tr>
      <w:tr>
        <w:trPr>
          <w:cantSplit/>
        </w:trPr>
        <w:tc>
          <w:tcPr>
            <w:tcW w:type="dxa" w:w="2200"/>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MLP (raw signals)</w:t>
            </w:r>
          </w:p>
        </w:tc>
        <w:tc>
          <w:tcPr>
            <w:tcW w:type="dxa" w:w="19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0.9223</w:t>
            </w:r>
          </w:p>
        </w:tc>
        <w:tc>
          <w:tcPr>
            <w:tcW w:type="dxa" w:w="19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0.9197 ± 0.0832</w:t>
            </w:r>
          </w:p>
        </w:tc>
        <w:tc>
          <w:tcPr>
            <w:tcW w:type="dxa" w:w="19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0.9240</w:t>
            </w:r>
          </w:p>
        </w:tc>
        <w:tc>
          <w:tcPr>
            <w:tcW w:type="dxa" w:w="1846"/>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18.5</w:t>
            </w:r>
          </w:p>
        </w:tc>
      </w:tr>
    </w:tbl>
    <w:p>
      <w:pPr>
        <w:spacing w:after="110" w:line="262"/>
        <w:jc w:val="both"/>
      </w:pPr>
      <w:r>
        <w:rPr>
          <w:rFonts w:ascii="Times New Roman" w:cs="Times New Roman" w:eastAsia="Times New Roman" w:hAnsi="Times New Roman"/>
          <w:b w:val="false"/>
          <w:bCs w:val="false"/>
          <w:i w:val="false"/>
          <w:iCs w:val="false"/>
          <w:sz w:val="20"/>
          <w:szCs w:val="20"/>
        </w:rPr>
        <w:t xml:space="preserve">Leave-one-subject-out cross-validation removes the dependence on one particular nine-subject test set. Both models score higher than on the fixed split, 0.9400 against 0.9211 for the CNN and 0.9223 against 0.8925 for the baseline, which indicates the official test subjects are somewhat harder than average rather than easier. The ordering is unchanged: the convolutional model leads by 0.0177 pooled, in the same direction as the 0.0286 margin on the fixed split. The architecture result therefore does not depend on which nine subjects were held out.</w:t>
      </w:r>
    </w:p>
    <w:p>
      <w:pPr>
        <w:spacing w:after="110" w:line="262"/>
        <w:jc w:val="both"/>
      </w:pPr>
      <w:r>
        <w:rPr>
          <w:rFonts w:ascii="Times New Roman" w:cs="Times New Roman" w:eastAsia="Times New Roman" w:hAnsi="Times New Roman"/>
          <w:b w:val="false"/>
          <w:bCs w:val="false"/>
          <w:i w:val="false"/>
          <w:iCs w:val="false"/>
          <w:sz w:val="20"/>
          <w:szCs w:val="20"/>
        </w:rPr>
        <w:t xml:space="preserve">Two further observations come out of the folds. The per-subject standard deviation, 0.0688 for the CNN and 0.0832 for the baseline, is an order of magnitude larger than the seed-to-seed deviation of 0.0065: who the subject is matters far more than how the weights were initialised, and the baseline is the more subject-sensitive of the two. Mean stopping epoch rises to 21.3 and 18.5 respectively, against roughly 5 on the fixed split, which is consistent with the validation-noise result above and confirms that the early stopping seen in the main runs is a property of the chosen validation subjects rather than of the architectures.</w:t>
      </w:r>
    </w:p>
    <w:p>
      <w:pPr>
        <w:spacing w:after="90" w:before="190"/>
        <w:jc w:val="left"/>
      </w:pPr>
      <w:r>
        <w:rPr>
          <w:rFonts w:ascii="Times New Roman" w:cs="Times New Roman" w:eastAsia="Times New Roman" w:hAnsi="Times New Roman"/>
          <w:i/>
          <w:iCs/>
          <w:sz w:val="20"/>
          <w:szCs w:val="20"/>
        </w:rPr>
        <w:t xml:space="preserve">E. Error Analysis</w:t>
      </w:r>
    </w:p>
    <w:p>
      <w:pPr>
        <w:spacing w:after="80" w:before="170"/>
        <w:jc w:val="center"/>
      </w:pPr>
      <w:r>
        <w:rPr>
          <w:rFonts w:ascii="Times New Roman" w:cs="Times New Roman" w:eastAsia="Times New Roman" w:hAnsi="Times New Roman"/>
          <w:smallCaps/>
          <w:sz w:val="16"/>
          <w:szCs w:val="16"/>
        </w:rPr>
        <w:t xml:space="preserve">Table VII. Static-posture confusion rates (proportion of the true class)</w:t>
      </w:r>
    </w:p>
    <w:tbl>
      <w:tblPr>
        <w:tblW w:type="dxa" w:w="9746"/>
        <w:tblBorders>
          <w:top w:val="single" w:color="000000" w:sz="4"/>
          <w:left w:val="single" w:color="000000" w:sz="4"/>
          <w:bottom w:val="single" w:color="000000" w:sz="4"/>
          <w:right w:val="single" w:color="000000" w:sz="4"/>
          <w:insideH w:val="single" w:color="808080" w:sz="2"/>
          <w:insideV w:val="single" w:color="808080" w:sz="2"/>
        </w:tblBorders>
      </w:tblPr>
      <w:tblGrid>
        <w:gridCol w:w="2600"/>
        <w:gridCol w:w="2400"/>
        <w:gridCol w:w="2400"/>
        <w:gridCol w:w="2346"/>
      </w:tblGrid>
      <w:tr>
        <w:trPr>
          <w:tblHeader/>
        </w:trPr>
        <w:tc>
          <w:tcPr>
            <w:tcW w:type="dxa" w:w="2600"/>
            <w:shd w:fill="D9D9D9" w:color="auto" w:val="clear"/>
            <w:tcMar>
              <w:top w:type="dxa" w:w="50"/>
              <w:left w:type="dxa" w:w="85"/>
              <w:bottom w:type="dxa" w:w="50"/>
              <w:right w:type="dxa" w:w="85"/>
            </w:tcMar>
          </w:tcPr>
          <w:p>
            <w:pPr>
              <w:spacing w:after="0" w:line="235"/>
              <w:jc w:val="left"/>
            </w:pPr>
            <w:r>
              <w:rPr>
                <w:rFonts w:ascii="Times New Roman" w:cs="Times New Roman" w:eastAsia="Times New Roman" w:hAnsi="Times New Roman"/>
                <w:b/>
                <w:bCs/>
                <w:i w:val="false"/>
                <w:iCs w:val="false"/>
                <w:sz w:val="16"/>
                <w:szCs w:val="16"/>
              </w:rPr>
              <w:t xml:space="preserve">Model</w:t>
            </w:r>
          </w:p>
        </w:tc>
        <w:tc>
          <w:tcPr>
            <w:tcW w:type="dxa" w:w="2400"/>
            <w:shd w:fill="D9D9D9" w:color="auto" w:val="clear"/>
            <w:tcMar>
              <w:top w:type="dxa" w:w="50"/>
              <w:left w:type="dxa" w:w="85"/>
              <w:bottom w:type="dxa" w:w="50"/>
              <w:right w:type="dxa" w:w="85"/>
            </w:tcMar>
          </w:tcPr>
          <w:p>
            <w:pPr>
              <w:spacing w:after="0" w:line="235"/>
              <w:jc w:val="center"/>
            </w:pPr>
            <w:r>
              <w:rPr>
                <w:rFonts w:ascii="Times New Roman" w:cs="Times New Roman" w:eastAsia="Times New Roman" w:hAnsi="Times New Roman"/>
                <w:b/>
                <w:bCs/>
                <w:i w:val="false"/>
                <w:iCs w:val="false"/>
                <w:sz w:val="16"/>
                <w:szCs w:val="16"/>
              </w:rPr>
              <w:t xml:space="preserve">Sitting → standing</w:t>
            </w:r>
          </w:p>
        </w:tc>
        <w:tc>
          <w:tcPr>
            <w:tcW w:type="dxa" w:w="2400"/>
            <w:shd w:fill="D9D9D9" w:color="auto" w:val="clear"/>
            <w:tcMar>
              <w:top w:type="dxa" w:w="50"/>
              <w:left w:type="dxa" w:w="85"/>
              <w:bottom w:type="dxa" w:w="50"/>
              <w:right w:type="dxa" w:w="85"/>
            </w:tcMar>
          </w:tcPr>
          <w:p>
            <w:pPr>
              <w:spacing w:after="0" w:line="235"/>
              <w:jc w:val="center"/>
            </w:pPr>
            <w:r>
              <w:rPr>
                <w:rFonts w:ascii="Times New Roman" w:cs="Times New Roman" w:eastAsia="Times New Roman" w:hAnsi="Times New Roman"/>
                <w:b/>
                <w:bCs/>
                <w:i w:val="false"/>
                <w:iCs w:val="false"/>
                <w:sz w:val="16"/>
                <w:szCs w:val="16"/>
              </w:rPr>
              <w:t xml:space="preserve">Standing → sitting</w:t>
            </w:r>
          </w:p>
        </w:tc>
        <w:tc>
          <w:tcPr>
            <w:tcW w:type="dxa" w:w="2346"/>
            <w:shd w:fill="D9D9D9" w:color="auto" w:val="clear"/>
            <w:tcMar>
              <w:top w:type="dxa" w:w="50"/>
              <w:left w:type="dxa" w:w="85"/>
              <w:bottom w:type="dxa" w:w="50"/>
              <w:right w:type="dxa" w:w="85"/>
            </w:tcMar>
          </w:tcPr>
          <w:p>
            <w:pPr>
              <w:spacing w:after="0" w:line="235"/>
              <w:jc w:val="left"/>
            </w:pPr>
            <w:r>
              <w:rPr>
                <w:rFonts w:ascii="Times New Roman" w:cs="Times New Roman" w:eastAsia="Times New Roman" w:hAnsi="Times New Roman"/>
                <w:b/>
                <w:bCs/>
                <w:i w:val="false"/>
                <w:iCs w:val="false"/>
                <w:sz w:val="16"/>
                <w:szCs w:val="16"/>
              </w:rPr>
              <w:t xml:space="preserve">Protocol</w:t>
            </w:r>
          </w:p>
        </w:tc>
      </w:tr>
      <w:tr>
        <w:trPr>
          <w:cantSplit/>
        </w:trPr>
        <w:tc>
          <w:tcPr>
            <w:tcW w:type="dxa" w:w="2600"/>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MLP (raw signals)</w:t>
            </w:r>
          </w:p>
        </w:tc>
        <w:tc>
          <w:tcPr>
            <w:tcW w:type="dxa" w:w="24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0.177 ± 0.023</w:t>
            </w:r>
          </w:p>
        </w:tc>
        <w:tc>
          <w:tcPr>
            <w:tcW w:type="dxa" w:w="24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0.155 ± 0.028</w:t>
            </w:r>
          </w:p>
        </w:tc>
        <w:tc>
          <w:tcPr>
            <w:tcW w:type="dxa" w:w="2346"/>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5 seeds, fixed split</w:t>
            </w:r>
          </w:p>
        </w:tc>
      </w:tr>
      <w:tr>
        <w:trPr>
          <w:cantSplit/>
        </w:trPr>
        <w:tc>
          <w:tcPr>
            <w:tcW w:type="dxa" w:w="2600"/>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MLP (561 features)</w:t>
            </w:r>
          </w:p>
        </w:tc>
        <w:tc>
          <w:tcPr>
            <w:tcW w:type="dxa" w:w="24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0.221 ± 0.041</w:t>
            </w:r>
          </w:p>
        </w:tc>
        <w:tc>
          <w:tcPr>
            <w:tcW w:type="dxa" w:w="24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0.032 ± 0.014</w:t>
            </w:r>
          </w:p>
        </w:tc>
        <w:tc>
          <w:tcPr>
            <w:tcW w:type="dxa" w:w="2346"/>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5 seeds, fixed split</w:t>
            </w:r>
          </w:p>
        </w:tc>
      </w:tr>
      <w:tr>
        <w:trPr>
          <w:cantSplit/>
        </w:trPr>
        <w:tc>
          <w:tcPr>
            <w:tcW w:type="dxa" w:w="2600"/>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1D-CNN</w:t>
            </w:r>
          </w:p>
        </w:tc>
        <w:tc>
          <w:tcPr>
            <w:tcW w:type="dxa" w:w="24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0.170 ± 0.022</w:t>
            </w:r>
          </w:p>
        </w:tc>
        <w:tc>
          <w:tcPr>
            <w:tcW w:type="dxa" w:w="24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0.114 ± 0.014</w:t>
            </w:r>
          </w:p>
        </w:tc>
        <w:tc>
          <w:tcPr>
            <w:tcW w:type="dxa" w:w="2346"/>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5 seeds, fixed split</w:t>
            </w:r>
          </w:p>
        </w:tc>
      </w:tr>
      <w:tr>
        <w:trPr>
          <w:cantSplit/>
        </w:trPr>
        <w:tc>
          <w:tcPr>
            <w:tcW w:type="dxa" w:w="2600"/>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MLP (raw, LOSO)</w:t>
            </w:r>
          </w:p>
        </w:tc>
        <w:tc>
          <w:tcPr>
            <w:tcW w:type="dxa" w:w="24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0.138</w:t>
            </w:r>
          </w:p>
        </w:tc>
        <w:tc>
          <w:tcPr>
            <w:tcW w:type="dxa" w:w="24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0.162</w:t>
            </w:r>
          </w:p>
        </w:tc>
        <w:tc>
          <w:tcPr>
            <w:tcW w:type="dxa" w:w="2346"/>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30 folds, pooled</w:t>
            </w:r>
          </w:p>
        </w:tc>
      </w:tr>
      <w:tr>
        <w:trPr>
          <w:cantSplit/>
        </w:trPr>
        <w:tc>
          <w:tcPr>
            <w:tcW w:type="dxa" w:w="2600"/>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1D-CNN (LOSO)</w:t>
            </w:r>
          </w:p>
        </w:tc>
        <w:tc>
          <w:tcPr>
            <w:tcW w:type="dxa" w:w="24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0.132</w:t>
            </w:r>
          </w:p>
        </w:tc>
        <w:tc>
          <w:tcPr>
            <w:tcW w:type="dxa" w:w="24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0.153</w:t>
            </w:r>
          </w:p>
        </w:tc>
        <w:tc>
          <w:tcPr>
            <w:tcW w:type="dxa" w:w="2346"/>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30 folds, pooled</w:t>
            </w:r>
          </w:p>
        </w:tc>
      </w:tr>
      <w:tr>
        <w:trPr>
          <w:cantSplit/>
        </w:trPr>
        <w:tc>
          <w:tcPr>
            <w:tcW w:type="dxa" w:w="2600"/>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BiLSTM (hidden 96)</w:t>
            </w:r>
          </w:p>
        </w:tc>
        <w:tc>
          <w:tcPr>
            <w:tcW w:type="dxa" w:w="24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0.178 ± 0.024</w:t>
            </w:r>
          </w:p>
        </w:tc>
        <w:tc>
          <w:tcPr>
            <w:tcW w:type="dxa" w:w="2400"/>
            <w:tcMar>
              <w:top w:type="dxa" w:w="50"/>
              <w:left w:type="dxa" w:w="85"/>
              <w:bottom w:type="dxa" w:w="50"/>
              <w:right w:type="dxa" w:w="85"/>
            </w:tcMar>
          </w:tcPr>
          <w:p>
            <w:pPr>
              <w:spacing w:after="0" w:line="235"/>
              <w:jc w:val="center"/>
            </w:pPr>
            <w:r>
              <w:rPr>
                <w:rFonts w:ascii="Times New Roman" w:cs="Times New Roman" w:eastAsia="Times New Roman" w:hAnsi="Times New Roman"/>
                <w:b w:val="false"/>
                <w:bCs w:val="false"/>
                <w:i w:val="false"/>
                <w:iCs w:val="false"/>
                <w:sz w:val="16"/>
                <w:szCs w:val="16"/>
              </w:rPr>
              <w:t xml:space="preserve">0.123 ± 0.024</w:t>
            </w:r>
          </w:p>
        </w:tc>
        <w:tc>
          <w:tcPr>
            <w:tcW w:type="dxa" w:w="2346"/>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5 seeds, fixed split</w:t>
            </w:r>
          </w:p>
        </w:tc>
      </w:tr>
    </w:tbl>
    <w:p>
      <w:pPr>
        <w:spacing w:after="110" w:line="262"/>
        <w:jc w:val="both"/>
      </w:pPr>
      <w:r>
        <w:rPr>
          <w:rFonts w:ascii="Times New Roman" w:cs="Times New Roman" w:eastAsia="Times New Roman" w:hAnsi="Times New Roman"/>
          <w:b w:val="false"/>
          <w:bCs w:val="false"/>
          <w:i w:val="false"/>
          <w:iCs w:val="false"/>
          <w:sz w:val="20"/>
          <w:szCs w:val="20"/>
        </w:rPr>
        <w:t xml:space="preserve">One failure mode dominates every model in this study. Between 13% and 18% of sitting windows are classified as standing, and between 11% and 16% of standing windows as sitting, and these two cells account for the large majority of all errors in every configuration tested. The failure survives a change of architecture, a change of input representation, a change of capacity and a change of evaluation protocol.</w:t>
      </w:r>
    </w:p>
    <w:p>
      <w:pPr>
        <w:spacing w:after="110" w:line="262"/>
        <w:jc w:val="both"/>
      </w:pPr>
      <w:r>
        <w:rPr>
          <w:rFonts w:ascii="Times New Roman" w:cs="Times New Roman" w:eastAsia="Times New Roman" w:hAnsi="Times New Roman"/>
          <w:b w:val="false"/>
          <w:bCs w:val="false"/>
          <w:i w:val="false"/>
          <w:iCs w:val="false"/>
          <w:sz w:val="20"/>
          <w:szCs w:val="20"/>
        </w:rPr>
        <w:t xml:space="preserve">The explanation is sensing geometry rather than modelling. A smartphone mounted at the waist is near-stationary in both postures, so the accelerometer reads essentially the gravity vector and the gyroscope reads near-zero. The orientation of the device relative to gravity differs only slightly between a seated and a standing torso, and that difference is smaller than the between-subject variation in how people sit and stand. No amount of temporal modelling helps, because there is no temporal structure in a static posture to model. Anguita et al. [1] reported the same confusion with a support vector machine in 2013 and attributed it to the same cause.</w:t>
      </w:r>
    </w:p>
    <w:p>
      <w:pPr>
        <w:spacing w:after="110" w:line="262"/>
        <w:jc w:val="both"/>
      </w:pPr>
      <w:r>
        <w:rPr>
          <w:rFonts w:ascii="Times New Roman" w:cs="Times New Roman" w:eastAsia="Times New Roman" w:hAnsi="Times New Roman"/>
          <w:b w:val="false"/>
          <w:bCs w:val="false"/>
          <w:i w:val="false"/>
          <w:iCs w:val="false"/>
          <w:sz w:val="20"/>
          <w:szCs w:val="20"/>
        </w:rPr>
        <w:t xml:space="preserve">The 1D-CNN reduces the standing-to-sitting error relative to the baseline, from 0.155 to 0.114, while the sitting-to-standing rate is essentially unchanged at 0.170 against 0.177. The asymmetry suggests the convolutional model picks up some residual micro-motion in standing windows, postural sway, that the flattened representation discards, while genuinely static sitting windows remain indistinguishable.</w:t>
      </w:r>
    </w:p>
    <w:p>
      <w:pPr>
        <w:spacing w:after="110" w:line="262"/>
        <w:jc w:val="both"/>
      </w:pPr>
      <w:r>
        <w:rPr>
          <w:rFonts w:ascii="Times New Roman" w:cs="Times New Roman" w:eastAsia="Times New Roman" w:hAnsi="Times New Roman"/>
          <w:b w:val="false"/>
          <w:bCs w:val="false"/>
          <w:i w:val="false"/>
          <w:iCs w:val="false"/>
          <w:sz w:val="20"/>
          <w:szCs w:val="20"/>
        </w:rPr>
        <w:t xml:space="preserve">The 561-feature representation pushes this asymmetry much further in the same direction. It drives standing-to-sitting down to 0.032, nearly four times lower than the convolutional model and five times lower than the raw baseline, while raising sitting-to-standing to 0.221, the highest rate recorded in this study. The model has not resolved the boundary; it has moved it, becoming strongly biased toward predicting standing. The net effect is nonetheless positive, giving the best sitting F1 of the three at 0.852 against 0.841 and 0.804, because the classes are close to balanced. The engineered frequency-domain descriptors evidently capture something that separates standing from sitting in one direction, most plausibly the sway signature, without supplying evidence for the reverse decision.</w:t>
      </w:r>
    </w:p>
    <w:p>
      <w:pPr>
        <w:spacing w:after="130" w:before="280"/>
        <w:jc w:val="center"/>
      </w:pPr>
      <w:r>
        <w:rPr>
          <w:rFonts w:ascii="Times New Roman" w:cs="Times New Roman" w:eastAsia="Times New Roman" w:hAnsi="Times New Roman"/>
          <w:b/>
          <w:bCs/>
          <w:smallCaps/>
          <w:sz w:val="22"/>
          <w:szCs w:val="22"/>
        </w:rPr>
        <w:t xml:space="preserve">VII. Conclusion</w:t>
      </w:r>
    </w:p>
    <w:p>
      <w:pPr>
        <w:spacing w:after="110" w:line="262"/>
        <w:jc w:val="both"/>
      </w:pPr>
      <w:r>
        <w:rPr>
          <w:rFonts w:ascii="Times New Roman" w:cs="Times New Roman" w:eastAsia="Times New Roman" w:hAnsi="Times New Roman"/>
          <w:b w:val="false"/>
          <w:bCs w:val="false"/>
          <w:i w:val="false"/>
          <w:iCs w:val="false"/>
          <w:sz w:val="20"/>
          <w:szCs w:val="20"/>
        </w:rPr>
        <w:t xml:space="preserve">Of the three architectures compared under an identical protocol, the one-dimensional convolutional network performs best, at 0.9211 ± 0.0065 test accuracy against 0.8925 ± 0.0087 for the fully connected baseline, using 2.6 times fewer parameters. The margin is several times the seed-to-seed standard deviation, so the ordering is established rather than suggestive.</w:t>
      </w:r>
    </w:p>
    <w:p>
      <w:pPr>
        <w:spacing w:after="110" w:line="262"/>
        <w:jc w:val="both"/>
      </w:pPr>
      <w:r>
        <w:rPr>
          <w:rFonts w:ascii="Times New Roman" w:cs="Times New Roman" w:eastAsia="Times New Roman" w:hAnsi="Times New Roman"/>
          <w:b w:val="false"/>
          <w:bCs w:val="false"/>
          <w:i w:val="false"/>
          <w:iCs w:val="false"/>
          <w:sz w:val="20"/>
          <w:szCs w:val="20"/>
        </w:rPr>
        <w:t xml:space="preserve">The explanation is not capacity but inductive bias. A sixteen-fold sweep of the baseline’s hidden-layer width moves its test accuracy by only 0.0077, roughly a quarter of the gap to the convolutional model, and the widest variant tested is the worst of the nine. The convolutional advantage is concentrated in the dynamic, cyclic classes, where translation-invariant local filters match the repeating structure of a gait cycle, and disappears on static postures where there is no such structure to exploit.</w:t>
      </w:r>
    </w:p>
    <w:p>
      <w:pPr>
        <w:spacing w:after="110" w:line="262"/>
        <w:jc w:val="both"/>
      </w:pPr>
      <w:r>
        <w:rPr>
          <w:rFonts w:ascii="Times New Roman" w:cs="Times New Roman" w:eastAsia="Times New Roman" w:hAnsi="Times New Roman"/>
          <w:b w:val="false"/>
          <w:bCs w:val="false"/>
          <w:i w:val="false"/>
          <w:iCs w:val="false"/>
          <w:sz w:val="20"/>
          <w:szCs w:val="20"/>
        </w:rPr>
        <w:t xml:space="preserve">The representation study qualifies that conclusion in a useful way. Trained on the dataset’s 561 hand-crafted features instead of raw windows, the same baseline architecture reaches 0.9170 ± 0.0067, statistically indistinguishable from the convolutional model’s 0.9211 ± 0.0065. The convolutional prior is therefore not the only route to this level of performance; it is the route that does not require a domain expert to design the features first, and it gets there with fewer parameters.</w:t>
      </w:r>
    </w:p>
    <w:p>
      <w:pPr>
        <w:spacing w:after="110" w:line="262"/>
        <w:jc w:val="both"/>
      </w:pPr>
      <w:r>
        <w:rPr>
          <w:rFonts w:ascii="Times New Roman" w:cs="Times New Roman" w:eastAsia="Times New Roman" w:hAnsi="Times New Roman"/>
          <w:b w:val="false"/>
          <w:bCs w:val="false"/>
          <w:i w:val="false"/>
          <w:iCs w:val="false"/>
          <w:sz w:val="20"/>
          <w:szCs w:val="20"/>
        </w:rPr>
        <w:t xml:space="preserve">The recurrent model is the clearest negative result. At 0.8921 ± 0.0103 it is indistinguishable from the architecture-free baseline’s 0.8925 ± 0.0087, a difference of 0.0004 on comparable parameter budgets. Bidirectional recurrence, the strongest structural assumption of the three, returns nothing over making no assumption at all. This confirms the conditional stated by Hammerla et al. [9]: recurrence pays on short gestures with a natural ordering, not on prolonged repetitive locomotion, which is what these six classes are.</w:t>
      </w:r>
    </w:p>
    <w:p>
      <w:pPr>
        <w:spacing w:after="110" w:line="262"/>
        <w:jc w:val="both"/>
      </w:pPr>
      <w:r>
        <w:rPr>
          <w:rFonts w:ascii="Times New Roman" w:cs="Times New Roman" w:eastAsia="Times New Roman" w:hAnsi="Times New Roman"/>
          <w:b w:val="false"/>
          <w:bCs w:val="false"/>
          <w:i w:val="false"/>
          <w:iCs w:val="false"/>
          <w:sz w:val="20"/>
          <w:szCs w:val="20"/>
        </w:rPr>
        <w:t xml:space="preserve">Taken together the three results say something more precise than that architecture matters. Architecture matters when its assumption matches the data. Locality and translation invariance match a repeating gait cycle and are worth 0.0286. Order sensitivity across a window of steady walking matches nothing in particular and is worth 0.0004.</w:t>
      </w:r>
    </w:p>
    <w:p>
      <w:pPr>
        <w:spacing w:after="110" w:line="262"/>
        <w:jc w:val="both"/>
      </w:pPr>
      <w:r>
        <w:rPr>
          <w:rFonts w:ascii="Times New Roman" w:cs="Times New Roman" w:eastAsia="Times New Roman" w:hAnsi="Times New Roman"/>
          <w:b w:val="false"/>
          <w:bCs w:val="false"/>
          <w:i w:val="false"/>
          <w:iCs w:val="false"/>
          <w:sz w:val="20"/>
          <w:szCs w:val="20"/>
        </w:rPr>
        <w:t xml:space="preserve">Two secondary conclusions carry beyond this dataset. First, subject identity dominates seed variation by an order of magnitude, 0.0688 against 0.0065, so any sensor-HAR result reported on a single subject split and a single seed should be treated as provisional. Second, ranking architectures by validation loss and by test accuracy produced materially different orderings in the convolutional ablation, which is a concrete argument for keeping the test set out of every selection decision rather than a procedural formality.</w:t>
      </w:r>
    </w:p>
    <w:p>
      <w:pPr>
        <w:spacing w:after="130" w:before="280"/>
        <w:jc w:val="center"/>
      </w:pPr>
      <w:r>
        <w:rPr>
          <w:rFonts w:ascii="Times New Roman" w:cs="Times New Roman" w:eastAsia="Times New Roman" w:hAnsi="Times New Roman"/>
          <w:b/>
          <w:bCs/>
          <w:smallCaps/>
          <w:sz w:val="22"/>
          <w:szCs w:val="22"/>
        </w:rPr>
        <w:t xml:space="preserve">VIII. Future Work</w:t>
      </w:r>
    </w:p>
    <w:p>
      <w:pPr>
        <w:pStyle w:val="ListParagraph"/>
        <w:numPr>
          <w:ilvl w:val="0"/>
          <w:numId w:val="2"/>
        </w:numPr>
        <w:spacing w:after="70" w:line="262"/>
        <w:jc w:val="both"/>
      </w:pPr>
      <w:r>
        <w:rPr>
          <w:rFonts w:ascii="Times New Roman" w:cs="Times New Roman" w:eastAsia="Times New Roman" w:hAnsi="Times New Roman"/>
          <w:b/>
          <w:bCs/>
          <w:sz w:val="20"/>
          <w:szCs w:val="20"/>
        </w:rPr>
        <w:t xml:space="preserve">Attention-based architectures. </w:t>
      </w:r>
      <w:r>
        <w:rPr>
          <w:rFonts w:ascii="Times New Roman" w:cs="Times New Roman" w:eastAsia="Times New Roman" w:hAnsi="Times New Roman"/>
          <w:sz w:val="20"/>
          <w:szCs w:val="20"/>
        </w:rPr>
        <w:t xml:space="preserve">Transformer encoders over inertial sequences were excluded here to keep three architectures implementable to a defensible depth. They are the obvious fourth family, and would test whether learned global attention offers anything beyond the local convolutional prior on this task.</w:t>
      </w:r>
    </w:p>
    <w:p>
      <w:pPr>
        <w:pStyle w:val="ListParagraph"/>
        <w:numPr>
          <w:ilvl w:val="0"/>
          <w:numId w:val="2"/>
        </w:numPr>
        <w:spacing w:after="70" w:line="262"/>
        <w:jc w:val="both"/>
      </w:pPr>
      <w:r>
        <w:rPr>
          <w:rFonts w:ascii="Times New Roman" w:cs="Times New Roman" w:eastAsia="Times New Roman" w:hAnsi="Times New Roman"/>
          <w:b/>
          <w:bCs/>
          <w:sz w:val="20"/>
          <w:szCs w:val="20"/>
        </w:rPr>
        <w:t xml:space="preserve">Resolving the static-posture boundary. </w:t>
      </w:r>
      <w:r>
        <w:rPr>
          <w:rFonts w:ascii="Times New Roman" w:cs="Times New Roman" w:eastAsia="Times New Roman" w:hAnsi="Times New Roman"/>
          <w:sz w:val="20"/>
          <w:szCs w:val="20"/>
        </w:rPr>
        <w:t xml:space="preserve">The sitting/standing confusion is a limit of waist-mounted sensing, not of modelling, so progress requires either additional sensing, such as a second device or a barometer sensitive to height change, or explicit modelling of the transitions between postures as in the transition-aware formulation of Reyes-Ortiz et al. [2].</w:t>
      </w:r>
    </w:p>
    <w:p>
      <w:pPr>
        <w:pStyle w:val="ListParagraph"/>
        <w:numPr>
          <w:ilvl w:val="0"/>
          <w:numId w:val="2"/>
        </w:numPr>
        <w:spacing w:after="70" w:line="262"/>
        <w:jc w:val="both"/>
      </w:pPr>
      <w:r>
        <w:rPr>
          <w:rFonts w:ascii="Times New Roman" w:cs="Times New Roman" w:eastAsia="Times New Roman" w:hAnsi="Times New Roman"/>
          <w:b/>
          <w:bCs/>
          <w:sz w:val="20"/>
          <w:szCs w:val="20"/>
        </w:rPr>
        <w:t xml:space="preserve">Cross-dataset generalisation. </w:t>
      </w:r>
      <w:r>
        <w:rPr>
          <w:rFonts w:ascii="Times New Roman" w:cs="Times New Roman" w:eastAsia="Times New Roman" w:hAnsi="Times New Roman"/>
          <w:sz w:val="20"/>
          <w:szCs w:val="20"/>
        </w:rPr>
        <w:t xml:space="preserve">All results here are within one dataset collected under one protocol with one device position. Training on UCI HAR and testing on WISDM [14] would test whether the architectural ordering observed is a property of the task or of this particular corpus.</w:t>
      </w:r>
    </w:p>
    <w:p>
      <w:pPr>
        <w:pStyle w:val="ListParagraph"/>
        <w:numPr>
          <w:ilvl w:val="0"/>
          <w:numId w:val="2"/>
        </w:numPr>
        <w:spacing w:after="70" w:line="262"/>
        <w:jc w:val="both"/>
      </w:pPr>
      <w:r>
        <w:rPr>
          <w:rFonts w:ascii="Times New Roman" w:cs="Times New Roman" w:eastAsia="Times New Roman" w:hAnsi="Times New Roman"/>
          <w:b/>
          <w:bCs/>
          <w:sz w:val="20"/>
          <w:szCs w:val="20"/>
        </w:rPr>
        <w:t xml:space="preserve">Hybrid architectures. </w:t>
      </w:r>
      <w:r>
        <w:rPr>
          <w:rFonts w:ascii="Times New Roman" w:cs="Times New Roman" w:eastAsia="Times New Roman" w:hAnsi="Times New Roman"/>
          <w:sz w:val="20"/>
          <w:szCs w:val="20"/>
        </w:rPr>
        <w:t xml:space="preserve">DeepConvLSTM [8] combines convolutional feature extraction with recurrent temporal modelling. Given that the convolutional model wins here and the recurrent one does not, measuring whether the hybrid recovers the difference would sharpen the account of what each component contributes.</w:t>
      </w:r>
    </w:p>
    <w:p>
      <w:pPr>
        <w:pStyle w:val="ListParagraph"/>
        <w:numPr>
          <w:ilvl w:val="0"/>
          <w:numId w:val="2"/>
        </w:numPr>
        <w:spacing w:after="70" w:line="262"/>
        <w:jc w:val="both"/>
      </w:pPr>
      <w:r>
        <w:rPr>
          <w:rFonts w:ascii="Times New Roman" w:cs="Times New Roman" w:eastAsia="Times New Roman" w:hAnsi="Times New Roman"/>
          <w:b/>
          <w:bCs/>
          <w:sz w:val="20"/>
          <w:szCs w:val="20"/>
        </w:rPr>
        <w:t xml:space="preserve">Per-subject variance. </w:t>
      </w:r>
      <w:r>
        <w:rPr>
          <w:rFonts w:ascii="Times New Roman" w:cs="Times New Roman" w:eastAsia="Times New Roman" w:hAnsi="Times New Roman"/>
          <w:sz w:val="20"/>
          <w:szCs w:val="20"/>
        </w:rPr>
        <w:t xml:space="preserve">The leave-one-subject-out results show a per-subject standard deviation of 0.0688, with some volunteers substantially harder than others. Characterising what makes a subject hard, and whether the same subjects are hard for all three architectures, would be a useful extension.</w:t>
      </w:r>
    </w:p>
    <w:p>
      <w:pPr>
        <w:spacing w:after="130" w:before="280"/>
        <w:jc w:val="center"/>
      </w:pPr>
      <w:r>
        <w:rPr>
          <w:rFonts w:ascii="Times New Roman" w:cs="Times New Roman" w:eastAsia="Times New Roman" w:hAnsi="Times New Roman"/>
          <w:b/>
          <w:bCs/>
          <w:smallCaps/>
          <w:sz w:val="22"/>
          <w:szCs w:val="22"/>
        </w:rPr>
        <w:t xml:space="preserve">Acknowledgement</w:t>
      </w:r>
    </w:p>
    <w:p>
      <w:pPr>
        <w:spacing w:after="110" w:line="262"/>
        <w:jc w:val="both"/>
      </w:pPr>
      <w:r>
        <w:rPr>
          <w:rFonts w:ascii="Times New Roman" w:cs="Times New Roman" w:eastAsia="Times New Roman" w:hAnsi="Times New Roman"/>
          <w:b w:val="false"/>
          <w:bCs w:val="false"/>
          <w:i w:val="false"/>
          <w:iCs w:val="false"/>
          <w:sz w:val="20"/>
          <w:szCs w:val="20"/>
        </w:rPr>
        <w:t xml:space="preserve">The authors thank the course faculty for guidance throughout the project, and Anguita et al. for releasing the Human Activity Recognition Using Smartphones dataset into the public domain.</w:t>
      </w:r>
    </w:p>
    <w:p>
      <w:pPr>
        <w:spacing w:after="110" w:line="262"/>
        <w:jc w:val="both"/>
      </w:pPr>
      <w:r>
        <w:rPr>
          <w:rFonts w:ascii="Times New Roman" w:cs="Times New Roman" w:eastAsia="Times New Roman" w:hAnsi="Times New Roman"/>
          <w:b w:val="false"/>
          <w:bCs w:val="false"/>
          <w:i/>
          <w:iCs/>
          <w:sz w:val="20"/>
          <w:szCs w:val="20"/>
        </w:rPr>
        <w:t xml:space="preserve">In accordance with the course policy on the use of generative AI, the authors disclose that a large language model was used for the following: structuring the synopsis, interim and final report documents; identifying candidate literature for review; scaffolding shared infrastructure code, specifically the data-loading pipeline and the experiment-runner structure; and drafting prose which the authors subsequently revised. All model architectures, experimental design decisions, result interpretation and conclusions are the authors’ own. All reported figures were produced by the authors’ own execution of the committed code, and all cited numerical results were verified against the original publications.</w:t>
      </w:r>
    </w:p>
    <w:p>
      <w:pPr>
        <w:spacing w:after="130" w:before="280"/>
        <w:jc w:val="center"/>
      </w:pPr>
      <w:r>
        <w:rPr>
          <w:rFonts w:ascii="Times New Roman" w:cs="Times New Roman" w:eastAsia="Times New Roman" w:hAnsi="Times New Roman"/>
          <w:b/>
          <w:bCs/>
          <w:smallCaps/>
          <w:sz w:val="22"/>
          <w:szCs w:val="22"/>
        </w:rPr>
        <w:t xml:space="preserve">References</w:t>
      </w:r>
    </w:p>
    <w:p>
      <w:pPr>
        <w:spacing w:after="70" w:line="255"/>
        <w:ind w:left="460" w:hanging="460"/>
        <w:jc w:val="both"/>
      </w:pPr>
      <w:r>
        <w:rPr>
          <w:rFonts w:ascii="Times New Roman" w:cs="Times New Roman" w:eastAsia="Times New Roman" w:hAnsi="Times New Roman"/>
          <w:sz w:val="18"/>
          <w:szCs w:val="18"/>
        </w:rPr>
        <w:t xml:space="preserve">[1] D. Anguita, A. Ghio, L. Oneto, X. Parra and J. L. Reyes-Ortiz, “A Public Domain Dataset for Human Activity Recognition Using Smartphones,” in Proc. 21st European Symposium on Artificial Neural Networks (ESANN), Bruges, Belgium, 2013, pp. 437-442.</w:t>
      </w:r>
    </w:p>
    <w:p>
      <w:pPr>
        <w:spacing w:after="70" w:line="255"/>
        <w:ind w:left="460" w:hanging="460"/>
        <w:jc w:val="both"/>
      </w:pPr>
      <w:r>
        <w:rPr>
          <w:rFonts w:ascii="Times New Roman" w:cs="Times New Roman" w:eastAsia="Times New Roman" w:hAnsi="Times New Roman"/>
          <w:sz w:val="18"/>
          <w:szCs w:val="18"/>
        </w:rPr>
        <w:t xml:space="preserve">[2] J. L. Reyes-Ortiz, L. Oneto, A. Samà, X. Parra and D. Anguita, “Transition-Aware Human Activity Recognition Using Smartphones,” Neurocomputing, vol. 171, pp. 754-767, 2016.</w:t>
      </w:r>
    </w:p>
    <w:p>
      <w:pPr>
        <w:spacing w:after="70" w:line="255"/>
        <w:ind w:left="460" w:hanging="460"/>
        <w:jc w:val="both"/>
      </w:pPr>
      <w:r>
        <w:rPr>
          <w:rFonts w:ascii="Times New Roman" w:cs="Times New Roman" w:eastAsia="Times New Roman" w:hAnsi="Times New Roman"/>
          <w:sz w:val="18"/>
          <w:szCs w:val="18"/>
        </w:rPr>
        <w:t xml:space="preserve">[3] M. Zeng, L. T. Nguyen, B. Yu, O. J. Mengshoel, J. Zhu, P. Wu and J. Zhang, “Convolutional Neural Networks for Human Activity Recognition Using Mobile Sensors,” in Proc. 6th International Conference on Mobile Computing, Applications and Services (MobiCASE), Austin, TX, USA, 2014, pp. 197-205.</w:t>
      </w:r>
    </w:p>
    <w:p>
      <w:pPr>
        <w:spacing w:after="70" w:line="255"/>
        <w:ind w:left="460" w:hanging="460"/>
        <w:jc w:val="both"/>
      </w:pPr>
      <w:r>
        <w:rPr>
          <w:rFonts w:ascii="Times New Roman" w:cs="Times New Roman" w:eastAsia="Times New Roman" w:hAnsi="Times New Roman"/>
          <w:sz w:val="18"/>
          <w:szCs w:val="18"/>
        </w:rPr>
        <w:t xml:space="preserve">[4] J. B. Yang, M. N. Nguyen, P. P. San, X. L. Li and S. Krishnaswamy, “Deep Convolutional Neural Networks on Multichannel Time Series for Human Activity Recognition,” in Proc. 24th International Joint Conference on Artificial Intelligence (IJCAI), Buenos Aires, Argentina, 2015, pp. 3995-4001.</w:t>
      </w:r>
    </w:p>
    <w:p>
      <w:pPr>
        <w:spacing w:after="70" w:line="255"/>
        <w:ind w:left="460" w:hanging="460"/>
        <w:jc w:val="both"/>
      </w:pPr>
      <w:r>
        <w:rPr>
          <w:rFonts w:ascii="Times New Roman" w:cs="Times New Roman" w:eastAsia="Times New Roman" w:hAnsi="Times New Roman"/>
          <w:sz w:val="18"/>
          <w:szCs w:val="18"/>
        </w:rPr>
        <w:t xml:space="preserve">[5] C. A. Ronao and S.-B. Cho, “Human Activity Recognition with Smartphone Sensors Using Deep Learning Neural Networks,” Expert Systems with Applications, vol. 59, pp. 235-244, 2016.</w:t>
      </w:r>
    </w:p>
    <w:p>
      <w:pPr>
        <w:spacing w:after="70" w:line="255"/>
        <w:ind w:left="460" w:hanging="460"/>
        <w:jc w:val="both"/>
      </w:pPr>
      <w:r>
        <w:rPr>
          <w:rFonts w:ascii="Times New Roman" w:cs="Times New Roman" w:eastAsia="Times New Roman" w:hAnsi="Times New Roman"/>
          <w:sz w:val="18"/>
          <w:szCs w:val="18"/>
        </w:rPr>
        <w:t xml:space="preserve">[6] A. Ignatov, “Real-time Human Activity Recognition from Accelerometer Data Using Convolutional Neural Networks,” Applied Soft Computing, vol. 62, pp. 915-922, 2018.</w:t>
      </w:r>
    </w:p>
    <w:p>
      <w:pPr>
        <w:spacing w:after="70" w:line="255"/>
        <w:ind w:left="460" w:hanging="460"/>
        <w:jc w:val="both"/>
      </w:pPr>
      <w:r>
        <w:rPr>
          <w:rFonts w:ascii="Times New Roman" w:cs="Times New Roman" w:eastAsia="Times New Roman" w:hAnsi="Times New Roman"/>
          <w:sz w:val="18"/>
          <w:szCs w:val="18"/>
        </w:rPr>
        <w:t xml:space="preserve">[7] A. Murad and J.-Y. Pyun, “Deep Recurrent Neural Networks for Human Activity Recognition,” Sensors, vol. 17, no. 11, art. 2556, 2017.</w:t>
      </w:r>
    </w:p>
    <w:p>
      <w:pPr>
        <w:spacing w:after="70" w:line="255"/>
        <w:ind w:left="460" w:hanging="460"/>
        <w:jc w:val="both"/>
      </w:pPr>
      <w:r>
        <w:rPr>
          <w:rFonts w:ascii="Times New Roman" w:cs="Times New Roman" w:eastAsia="Times New Roman" w:hAnsi="Times New Roman"/>
          <w:sz w:val="18"/>
          <w:szCs w:val="18"/>
        </w:rPr>
        <w:t xml:space="preserve">[8] F. J. Ordóñez and D. Roggen, “Deep Convolutional and LSTM Recurrent Neural Networks for Multimodal Wearable Activity Recognition,” Sensors, vol. 16, no. 1, art. 115, 2016.</w:t>
      </w:r>
    </w:p>
    <w:p>
      <w:pPr>
        <w:spacing w:after="70" w:line="255"/>
        <w:ind w:left="460" w:hanging="460"/>
        <w:jc w:val="both"/>
      </w:pPr>
      <w:r>
        <w:rPr>
          <w:rFonts w:ascii="Times New Roman" w:cs="Times New Roman" w:eastAsia="Times New Roman" w:hAnsi="Times New Roman"/>
          <w:sz w:val="18"/>
          <w:szCs w:val="18"/>
        </w:rPr>
        <w:t xml:space="preserve">[9] N. Y. Hammerla, S. Halloran and T. Plötz, “Deep, Convolutional, and Recurrent Models for Human Activity Recognition Using Wearables,” in Proc. 25th International Joint Conference on Artificial Intelligence (IJCAI), New York, USA, 2016, pp. 1533-1540.</w:t>
      </w:r>
    </w:p>
    <w:p>
      <w:pPr>
        <w:spacing w:after="70" w:line="255"/>
        <w:ind w:left="460" w:hanging="460"/>
        <w:jc w:val="both"/>
      </w:pPr>
      <w:r>
        <w:rPr>
          <w:rFonts w:ascii="Times New Roman" w:cs="Times New Roman" w:eastAsia="Times New Roman" w:hAnsi="Times New Roman"/>
          <w:sz w:val="18"/>
          <w:szCs w:val="18"/>
        </w:rPr>
        <w:t xml:space="preserve">[10] J. Wang, Y. Chen, S. Hao, X. Peng and L. Hu, “Deep Learning for Sensor-based Activity Recognition: A Survey,” Pattern Recognition Letters, vol. 119, pp. 3-11, 2019.</w:t>
      </w:r>
    </w:p>
    <w:p>
      <w:pPr>
        <w:spacing w:after="70" w:line="255"/>
        <w:ind w:left="460" w:hanging="460"/>
        <w:jc w:val="both"/>
      </w:pPr>
      <w:r>
        <w:rPr>
          <w:rFonts w:ascii="Times New Roman" w:cs="Times New Roman" w:eastAsia="Times New Roman" w:hAnsi="Times New Roman"/>
          <w:sz w:val="18"/>
          <w:szCs w:val="18"/>
        </w:rPr>
        <w:t xml:space="preserve">[11] S. Ioffe and C. Szegedy, “Batch Normalization: Accelerating Deep Network Training by Reducing Internal Covariate Shift,” in Proc. 32nd International Conference on Machine Learning (ICML), Lille, France, 2015, pp. 448-456.</w:t>
      </w:r>
    </w:p>
    <w:p>
      <w:pPr>
        <w:spacing w:after="70" w:line="255"/>
        <w:ind w:left="460" w:hanging="460"/>
        <w:jc w:val="both"/>
      </w:pPr>
      <w:r>
        <w:rPr>
          <w:rFonts w:ascii="Times New Roman" w:cs="Times New Roman" w:eastAsia="Times New Roman" w:hAnsi="Times New Roman"/>
          <w:sz w:val="18"/>
          <w:szCs w:val="18"/>
        </w:rPr>
        <w:t xml:space="preserve">[12] S. Hochreiter and J. Schmidhuber, “Long Short-Term Memory,” Neural Computation, vol. 9, no. 8, pp. 1735-1780, 1997.</w:t>
      </w:r>
    </w:p>
    <w:p>
      <w:pPr>
        <w:spacing w:after="70" w:line="255"/>
        <w:ind w:left="460" w:hanging="460"/>
        <w:jc w:val="both"/>
      </w:pPr>
      <w:r>
        <w:rPr>
          <w:rFonts w:ascii="Times New Roman" w:cs="Times New Roman" w:eastAsia="Times New Roman" w:hAnsi="Times New Roman"/>
          <w:sz w:val="18"/>
          <w:szCs w:val="18"/>
        </w:rPr>
        <w:t xml:space="preserve">[13] D. P. Kingma and J. Ba, “Adam: A Method for Stochastic Optimization,” in Proc. 3rd International Conference on Learning Representations (ICLR), San Diego, CA, USA, 2015.</w:t>
      </w:r>
    </w:p>
    <w:p>
      <w:pPr>
        <w:spacing w:after="70" w:line="255"/>
        <w:ind w:left="460" w:hanging="460"/>
        <w:jc w:val="both"/>
      </w:pPr>
      <w:r>
        <w:rPr>
          <w:rFonts w:ascii="Times New Roman" w:cs="Times New Roman" w:eastAsia="Times New Roman" w:hAnsi="Times New Roman"/>
          <w:sz w:val="18"/>
          <w:szCs w:val="18"/>
        </w:rPr>
        <w:t xml:space="preserve">[14] J. R. Kwapisz, G. M. Weiss and S. A. Moore, “Activity Recognition Using Cell Phone Accelerometers,” ACM SIGKDD Explorations Newsletter, vol. 12, no. 2, pp. 74-82, 2011.</w:t>
      </w:r>
    </w:p>
    <w:p>
      <w:r>
        <w:br w:type="page"/>
      </w:r>
    </w:p>
    <w:p>
      <w:pPr>
        <w:spacing w:after="130" w:before="280"/>
        <w:jc w:val="center"/>
      </w:pPr>
      <w:r>
        <w:rPr>
          <w:rFonts w:ascii="Times New Roman" w:cs="Times New Roman" w:eastAsia="Times New Roman" w:hAnsi="Times New Roman"/>
          <w:b/>
          <w:bCs/>
          <w:smallCaps/>
          <w:sz w:val="22"/>
          <w:szCs w:val="22"/>
        </w:rPr>
        <w:t xml:space="preserve">C.3  Individual Contribution Statement</w:t>
      </w:r>
    </w:p>
    <w:p>
      <w:pPr>
        <w:spacing w:after="150" w:line="262"/>
        <w:jc w:val="both"/>
      </w:pPr>
      <w:r>
        <w:rPr>
          <w:rFonts w:ascii="Times New Roman" w:cs="Times New Roman" w:eastAsia="Times New Roman" w:hAnsi="Times New Roman"/>
          <w:b w:val="false"/>
          <w:bCs w:val="false"/>
          <w:i w:val="false"/>
          <w:iCs w:val="false"/>
          <w:sz w:val="20"/>
          <w:szCs w:val="20"/>
        </w:rPr>
        <w:t xml:space="preserve">Each member is individually assessed on the contribution stated below at the Final Presentation. Commit history evidencing these contributions is available in the project repository at https://github.com/Soham289/Deep-Learning.</w:t>
      </w:r>
    </w:p>
    <w:tbl>
      <w:tblPr>
        <w:tblW w:type="dxa" w:w="9746"/>
        <w:tblBorders>
          <w:top w:val="single" w:color="000000" w:sz="4"/>
          <w:left w:val="single" w:color="000000" w:sz="4"/>
          <w:bottom w:val="single" w:color="000000" w:sz="4"/>
          <w:right w:val="single" w:color="000000" w:sz="4"/>
          <w:insideH w:val="single" w:color="808080" w:sz="2"/>
          <w:insideV w:val="single" w:color="808080" w:sz="2"/>
        </w:tblBorders>
      </w:tblPr>
      <w:tblGrid>
        <w:gridCol w:w="1700"/>
        <w:gridCol w:w="1300"/>
        <w:gridCol w:w="2100"/>
        <w:gridCol w:w="3100"/>
        <w:gridCol w:w="1546"/>
      </w:tblGrid>
      <w:tr>
        <w:trPr>
          <w:tblHeader/>
        </w:trPr>
        <w:tc>
          <w:tcPr>
            <w:tcW w:type="dxa" w:w="1700"/>
            <w:shd w:fill="D9D9D9" w:color="auto" w:val="clear"/>
            <w:tcMar>
              <w:top w:type="dxa" w:w="50"/>
              <w:left w:type="dxa" w:w="85"/>
              <w:bottom w:type="dxa" w:w="50"/>
              <w:right w:type="dxa" w:w="85"/>
            </w:tcMar>
          </w:tcPr>
          <w:p>
            <w:pPr>
              <w:spacing w:after="0" w:line="235"/>
              <w:jc w:val="left"/>
            </w:pPr>
            <w:r>
              <w:rPr>
                <w:rFonts w:ascii="Times New Roman" w:cs="Times New Roman" w:eastAsia="Times New Roman" w:hAnsi="Times New Roman"/>
                <w:b/>
                <w:bCs/>
                <w:i w:val="false"/>
                <w:iCs w:val="false"/>
                <w:sz w:val="16"/>
                <w:szCs w:val="16"/>
              </w:rPr>
              <w:t xml:space="preserve">Member Name</w:t>
            </w:r>
          </w:p>
        </w:tc>
        <w:tc>
          <w:tcPr>
            <w:tcW w:type="dxa" w:w="1300"/>
            <w:shd w:fill="D9D9D9" w:color="auto" w:val="clear"/>
            <w:tcMar>
              <w:top w:type="dxa" w:w="50"/>
              <w:left w:type="dxa" w:w="85"/>
              <w:bottom w:type="dxa" w:w="50"/>
              <w:right w:type="dxa" w:w="85"/>
            </w:tcMar>
          </w:tcPr>
          <w:p>
            <w:pPr>
              <w:spacing w:after="0" w:line="235"/>
              <w:jc w:val="left"/>
            </w:pPr>
            <w:r>
              <w:rPr>
                <w:rFonts w:ascii="Times New Roman" w:cs="Times New Roman" w:eastAsia="Times New Roman" w:hAnsi="Times New Roman"/>
                <w:b/>
                <w:bCs/>
                <w:i w:val="false"/>
                <w:iCs w:val="false"/>
                <w:sz w:val="16"/>
                <w:szCs w:val="16"/>
              </w:rPr>
              <w:t xml:space="preserve">Reg. No.</w:t>
            </w:r>
          </w:p>
        </w:tc>
        <w:tc>
          <w:tcPr>
            <w:tcW w:type="dxa" w:w="2100"/>
            <w:shd w:fill="D9D9D9" w:color="auto" w:val="clear"/>
            <w:tcMar>
              <w:top w:type="dxa" w:w="50"/>
              <w:left w:type="dxa" w:w="85"/>
              <w:bottom w:type="dxa" w:w="50"/>
              <w:right w:type="dxa" w:w="85"/>
            </w:tcMar>
          </w:tcPr>
          <w:p>
            <w:pPr>
              <w:spacing w:after="0" w:line="235"/>
              <w:jc w:val="left"/>
            </w:pPr>
            <w:r>
              <w:rPr>
                <w:rFonts w:ascii="Times New Roman" w:cs="Times New Roman" w:eastAsia="Times New Roman" w:hAnsi="Times New Roman"/>
                <w:b/>
                <w:bCs/>
                <w:i w:val="false"/>
                <w:iCs w:val="false"/>
                <w:sz w:val="16"/>
                <w:szCs w:val="16"/>
              </w:rPr>
              <w:t xml:space="preserve">Model / Task Owned</w:t>
            </w:r>
          </w:p>
        </w:tc>
        <w:tc>
          <w:tcPr>
            <w:tcW w:type="dxa" w:w="3100"/>
            <w:shd w:fill="D9D9D9" w:color="auto" w:val="clear"/>
            <w:tcMar>
              <w:top w:type="dxa" w:w="50"/>
              <w:left w:type="dxa" w:w="85"/>
              <w:bottom w:type="dxa" w:w="50"/>
              <w:right w:type="dxa" w:w="85"/>
            </w:tcMar>
          </w:tcPr>
          <w:p>
            <w:pPr>
              <w:spacing w:after="0" w:line="235"/>
              <w:jc w:val="left"/>
            </w:pPr>
            <w:r>
              <w:rPr>
                <w:rFonts w:ascii="Times New Roman" w:cs="Times New Roman" w:eastAsia="Times New Roman" w:hAnsi="Times New Roman"/>
                <w:b/>
                <w:bCs/>
                <w:i w:val="false"/>
                <w:iCs w:val="false"/>
                <w:sz w:val="16"/>
                <w:szCs w:val="16"/>
              </w:rPr>
              <w:t xml:space="preserve">Key Contributions</w:t>
            </w:r>
          </w:p>
        </w:tc>
        <w:tc>
          <w:tcPr>
            <w:tcW w:type="dxa" w:w="1546"/>
            <w:shd w:fill="D9D9D9" w:color="auto" w:val="clear"/>
            <w:tcMar>
              <w:top w:type="dxa" w:w="50"/>
              <w:left w:type="dxa" w:w="85"/>
              <w:bottom w:type="dxa" w:w="50"/>
              <w:right w:type="dxa" w:w="85"/>
            </w:tcMar>
          </w:tcPr>
          <w:p>
            <w:pPr>
              <w:spacing w:after="0" w:line="235"/>
              <w:jc w:val="left"/>
            </w:pPr>
            <w:r>
              <w:rPr>
                <w:rFonts w:ascii="Times New Roman" w:cs="Times New Roman" w:eastAsia="Times New Roman" w:hAnsi="Times New Roman"/>
                <w:b/>
                <w:bCs/>
                <w:i w:val="false"/>
                <w:iCs w:val="false"/>
                <w:sz w:val="16"/>
                <w:szCs w:val="16"/>
              </w:rPr>
              <w:t xml:space="preserve">Signature</w:t>
            </w:r>
          </w:p>
        </w:tc>
      </w:tr>
      <w:tr>
        <w:trPr>
          <w:cantSplit/>
        </w:trPr>
        <w:tc>
          <w:tcPr>
            <w:tcW w:type="dxa" w:w="1700"/>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Soham Amundkar</w:t>
            </w:r>
          </w:p>
        </w:tc>
        <w:tc>
          <w:tcPr>
            <w:tcW w:type="dxa" w:w="1300"/>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230953340</w:t>
            </w:r>
          </w:p>
        </w:tc>
        <w:tc>
          <w:tcPr>
            <w:tcW w:type="dxa" w:w="2100"/>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Model 1: MLP baseline (both representations)</w:t>
            </w:r>
          </w:p>
        </w:tc>
        <w:tc>
          <w:tcPr>
            <w:tcW w:type="dxa" w:w="3100"/>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Repository and project structure; shared data pipeline (subject-independent split, standardisation, leakage verification); MLP architecture; dual-representation study; MLP ablation and LOSO; final report assembly.</w:t>
            </w:r>
          </w:p>
        </w:tc>
        <w:tc>
          <w:tcPr>
            <w:tcW w:type="dxa" w:w="1546"/>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
            </w:r>
          </w:p>
        </w:tc>
      </w:tr>
      <w:tr>
        <w:trPr>
          <w:cantSplit/>
        </w:trPr>
        <w:tc>
          <w:tcPr>
            <w:tcW w:type="dxa" w:w="1700"/>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Bhavya</w:t>
            </w:r>
          </w:p>
        </w:tc>
        <w:tc>
          <w:tcPr>
            <w:tcW w:type="dxa" w:w="1300"/>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230953104</w:t>
            </w:r>
          </w:p>
        </w:tc>
        <w:tc>
          <w:tcPr>
            <w:tcW w:type="dxa" w:w="2100"/>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Model 2: 1D-CNN</w:t>
            </w:r>
          </w:p>
        </w:tc>
        <w:tc>
          <w:tcPr>
            <w:tcW w:type="dxa" w:w="3100"/>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Shared training loop and evaluation harness; 1D-CNN architecture and tuning; multi-seed runner; 1D-CNN ablation, LOSO and validation-noise study; dataset documentation.</w:t>
            </w:r>
          </w:p>
        </w:tc>
        <w:tc>
          <w:tcPr>
            <w:tcW w:type="dxa" w:w="1546"/>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
            </w:r>
          </w:p>
        </w:tc>
      </w:tr>
      <w:tr>
        <w:trPr>
          <w:cantSplit/>
        </w:trPr>
        <w:tc>
          <w:tcPr>
            <w:tcW w:type="dxa" w:w="1700"/>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Avni Tiwari</w:t>
            </w:r>
          </w:p>
        </w:tc>
        <w:tc>
          <w:tcPr>
            <w:tcW w:type="dxa" w:w="1300"/>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230953500</w:t>
            </w:r>
          </w:p>
        </w:tc>
        <w:tc>
          <w:tcPr>
            <w:tcW w:type="dxa" w:w="2100"/>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Model 3: BiLSTM</w:t>
            </w:r>
          </w:p>
        </w:tc>
        <w:tc>
          <w:tcPr>
            <w:tcW w:type="dxa" w:w="3100"/>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BiLSTM architecture, training and evaluation; hidden-size tuning study; reproducible experiment scripts and executed notebook; static-posture error analysis.</w:t>
            </w:r>
          </w:p>
        </w:tc>
        <w:tc>
          <w:tcPr>
            <w:tcW w:type="dxa" w:w="1546"/>
            <w:tcMar>
              <w:top w:type="dxa" w:w="50"/>
              <w:left w:type="dxa" w:w="85"/>
              <w:bottom w:type="dxa" w:w="50"/>
              <w:right w:type="dxa" w:w="85"/>
            </w:tcMar>
          </w:tcPr>
          <w:p>
            <w:pPr>
              <w:spacing w:after="0" w:line="235"/>
              <w:jc w:val="left"/>
            </w:pPr>
            <w:r>
              <w:rPr>
                <w:rFonts w:ascii="Times New Roman" w:cs="Times New Roman" w:eastAsia="Times New Roman" w:hAnsi="Times New Roman"/>
                <w:b w:val="false"/>
                <w:bCs w:val="false"/>
                <w:i w:val="false"/>
                <w:iCs w:val="false"/>
                <w:sz w:val="16"/>
                <w:szCs w:val="16"/>
              </w:rPr>
              <w:t xml:space="preserve"/>
            </w:r>
          </w:p>
        </w:tc>
      </w:tr>
    </w:tbl>
    <w:p>
      <w:pPr>
        <w:spacing w:after="100" w:line="262"/>
        <w:jc w:val="both"/>
      </w:pPr>
      <w:r>
        <w:rPr>
          <w:rFonts w:ascii="Times New Roman" w:cs="Times New Roman" w:eastAsia="Times New Roman" w:hAnsi="Times New Roman"/>
          <w:b w:val="false"/>
          <w:bCs w:val="false"/>
          <w:i w:val="false"/>
          <w:iCs w:val="false"/>
          <w:sz w:val="20"/>
          <w:szCs w:val="20"/>
        </w:rPr>
        <w:t xml:space="preserve"/>
      </w:r>
    </w:p>
    <w:p>
      <w:pPr>
        <w:spacing w:after="110" w:line="262"/>
        <w:jc w:val="both"/>
      </w:pPr>
      <w:r>
        <w:rPr>
          <w:rFonts w:ascii="Times New Roman" w:cs="Times New Roman" w:eastAsia="Times New Roman" w:hAnsi="Times New Roman"/>
          <w:b w:val="false"/>
          <w:bCs w:val="false"/>
          <w:i/>
          <w:iCs/>
          <w:sz w:val="18"/>
          <w:szCs w:val="18"/>
        </w:rPr>
        <w:t xml:space="preserve">This page must be written by the members themselves and each member is individually vivaed on their stated contribution at the Final Presentation.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57c1866d78947754b0f504d55e8678873c55e4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2026-10-28T12:22:29.180Z</dcterms:created>
  <dcterms:modified xsi:type="dcterms:W3CDTF">2026-10-28T12:22:29.188Z</dcterms:modified>
</cp:coreProperties>
</file>

<file path=docProps/custom.xml><?xml version="1.0" encoding="utf-8"?>
<Properties xmlns="http://schemas.openxmlformats.org/officeDocument/2006/custom-properties" xmlns:vt="http://schemas.openxmlformats.org/officeDocument/2006/docPropsVTypes"/>
</file>