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24"/>
        </w:rPr>
        <w:t>MUKESH PATEL SCHOOL OF TECHNOLOGY MANAGEMENT &amp; ENGINEERING</w:t>
        <w:br/>
        <w:t>DEPARTMENT OF COMPUTER ENGINEERING</w:t>
      </w:r>
    </w:p>
    <w:p>
      <w:pPr>
        <w:spacing w:before="480" w:after="160"/>
        <w:jc w:val="center"/>
      </w:pPr>
      <w:r>
        <w:rPr>
          <w:rFonts w:ascii="Calibri" w:hAnsi="Calibri"/>
          <w:b/>
          <w:color w:val="0D9488"/>
          <w:sz w:val="36"/>
        </w:rPr>
        <w:t>REAL-TIME CURRENCY NOTE RECOGNITION AND COUNTERFEIT FEATURE CHECKER</w:t>
      </w:r>
    </w:p>
    <w:p>
      <w:pPr>
        <w:spacing w:after="560"/>
        <w:jc w:val="center"/>
      </w:pPr>
      <w:r>
        <w:rPr>
          <w:rFonts w:ascii="Calibri" w:hAnsi="Calibri"/>
          <w:i/>
          <w:color w:val="475569"/>
          <w:sz w:val="22"/>
        </w:rPr>
        <w:t>AI Laboratory Mini-Project Report &amp; Case Study | Academic Year 2026–27</w:t>
        <w:br/>
        <w:t>Course Faculty: Prof. Yukta Vishnoi</w:t>
      </w:r>
    </w:p>
    <w:tbl>
      <w:tblPr>
        <w:tblStyle w:val="TableGrid"/>
        <w:tblW w:type="auto" w:w="0"/>
        <w:tblLook w:firstColumn="1" w:firstRow="1" w:lastColumn="0" w:lastRow="0" w:noHBand="0" w:noVBand="1" w:val="04A0"/>
      </w:tblPr>
      <w:tblGrid>
        <w:gridCol w:w="3120"/>
        <w:gridCol w:w="3120"/>
        <w:gridCol w:w="3120"/>
      </w:tblGrid>
      <w:tr>
        <w:tc>
          <w:tcPr>
            <w:tcW w:type="dxa" w:w="3120"/>
            <w:shd w:fill="0F172A"/>
          </w:tcPr>
          <w:p>
            <w:r>
              <w:rPr>
                <w:b/>
                <w:color w:val="FFFFFF"/>
              </w:rPr>
              <w:t>Sr. No.</w:t>
            </w:r>
          </w:p>
        </w:tc>
        <w:tc>
          <w:tcPr>
            <w:tcW w:type="dxa" w:w="3120"/>
            <w:shd w:fill="0F172A"/>
          </w:tcPr>
          <w:p>
            <w:r>
              <w:rPr>
                <w:b/>
                <w:color w:val="FFFFFF"/>
              </w:rPr>
              <w:t>Group Member Name</w:t>
            </w:r>
          </w:p>
        </w:tc>
        <w:tc>
          <w:tcPr>
            <w:tcW w:type="dxa" w:w="3120"/>
            <w:shd w:fill="0F172A"/>
          </w:tcPr>
          <w:p>
            <w:r>
              <w:rPr>
                <w:b/>
                <w:color w:val="FFFFFF"/>
              </w:rPr>
              <w:t>Assigned Workstream / Responsibilities</w:t>
            </w:r>
          </w:p>
        </w:tc>
      </w:tr>
      <w:tr>
        <w:tc>
          <w:tcPr>
            <w:tcW w:type="dxa" w:w="3120"/>
          </w:tcPr>
          <w:p>
            <w:r>
              <w:t>1</w:t>
            </w:r>
          </w:p>
        </w:tc>
        <w:tc>
          <w:tcPr>
            <w:tcW w:type="dxa" w:w="3120"/>
          </w:tcPr>
          <w:p>
            <w:r>
              <w:t>Soham Prashant Kirpekar</w:t>
            </w:r>
          </w:p>
        </w:tc>
        <w:tc>
          <w:tcPr>
            <w:tcW w:type="dxa" w:w="3120"/>
          </w:tcPr>
          <w:p>
            <w:r>
              <w:t>Computer Vision Pipeline, Bilateral Filtering, Perspective Transformation, Formal PEAS Modeling (CO1)</w:t>
            </w:r>
          </w:p>
        </w:tc>
      </w:tr>
      <w:tr>
        <w:tc>
          <w:tcPr>
            <w:tcW w:type="dxa" w:w="3120"/>
          </w:tcPr>
          <w:p>
            <w:r>
              <w:t>2</w:t>
            </w:r>
          </w:p>
        </w:tc>
        <w:tc>
          <w:tcPr>
            <w:tcW w:type="dxa" w:w="3120"/>
          </w:tcPr>
          <w:p>
            <w:r>
              <w:t>Ethan Mathias</w:t>
            </w:r>
          </w:p>
        </w:tc>
        <w:tc>
          <w:tcPr>
            <w:tcW w:type="dxa" w:w="3120"/>
          </w:tcPr>
          <w:p>
            <w:r>
              <w:t>Supervised Denomination Classification (Decision Tree), K-Means Thread Clustering, Model Benchmarking (CO4)</w:t>
            </w:r>
          </w:p>
        </w:tc>
      </w:tr>
      <w:tr>
        <w:tc>
          <w:tcPr>
            <w:tcW w:type="dxa" w:w="3120"/>
          </w:tcPr>
          <w:p>
            <w:r>
              <w:t>3</w:t>
            </w:r>
          </w:p>
        </w:tc>
        <w:tc>
          <w:tcPr>
            <w:tcW w:type="dxa" w:w="3120"/>
          </w:tcPr>
          <w:p>
            <w:r>
              <w:t>Harshi Chaudhari</w:t>
            </w:r>
          </w:p>
        </w:tc>
        <w:tc>
          <w:tcPr>
            <w:tcW w:type="dxa" w:w="3120"/>
          </w:tcPr>
          <w:p>
            <w:r>
              <w:t>Forward-Chaining Rule-Based Expert System (CO3), UI Dashboard Integration, Case Study &amp; Report Compilation</w:t>
            </w:r>
          </w:p>
        </w:tc>
      </w:tr>
    </w:tbl>
    <w:p>
      <w:r>
        <w:br w:type="page"/>
      </w:r>
    </w:p>
    <w:p>
      <w:pPr>
        <w:keepNext/>
        <w:spacing w:before="360" w:after="120"/>
      </w:pPr>
      <w:r>
        <w:rPr>
          <w:rFonts w:ascii="Calibri" w:hAnsi="Calibri"/>
          <w:b/>
          <w:color w:val="0F172A"/>
          <w:sz w:val="32"/>
        </w:rPr>
        <w:t>1. Introduction</w:t>
      </w:r>
    </w:p>
    <w:p>
      <w:pPr>
        <w:spacing w:after="80" w:line="276" w:lineRule="auto"/>
      </w:pPr>
      <w:r>
        <w:rPr>
          <w:rFonts w:ascii="Calibri" w:hAnsi="Calibri"/>
          <w:sz w:val="22"/>
        </w:rPr>
        <w:t>High-speed cash handling environments require rapid authentication of currency notes. High-resolution counterfeit banknotes increasingly bypass superficial visual inspection, leading to direct financial losses for small retailers and cashiers. Traditional multi-sensor currency sorters rely on proprietary magnetic and infrared sensor hardware, frequently costing upwards of ₹50,000 per unit, which makes them economically unfeasible for small establishments.</w:t>
      </w:r>
    </w:p>
    <w:p>
      <w:pPr>
        <w:spacing w:after="80" w:line="276" w:lineRule="auto"/>
      </w:pPr>
      <w:r>
        <w:rPr>
          <w:rFonts w:ascii="Calibri" w:hAnsi="Calibri"/>
          <w:sz w:val="22"/>
        </w:rPr>
        <w:t>This project presents an accessible, software-driven Artificial Intelligence system that achieves real-time currency recognition and counterfeit feature verification using standard optical camera hardware. The solution is formulated as an Intelligent Agent satisfying Course Outcome CO1 under the formal PEAS model:</w:t>
      </w:r>
    </w:p>
    <w:p>
      <w:pPr>
        <w:pStyle w:val="ListBullet"/>
        <w:spacing w:after="60" w:line="276" w:lineRule="auto"/>
      </w:pPr>
      <w:r>
        <w:rPr>
          <w:rFonts w:ascii="Calibri" w:hAnsi="Calibri"/>
          <w:b/>
          <w:color w:val="0F172A"/>
          <w:sz w:val="22"/>
        </w:rPr>
        <w:t xml:space="preserve">Performance Measure (P): </w:t>
      </w:r>
      <w:r>
        <w:rPr>
          <w:rFonts w:ascii="Calibri" w:hAnsi="Calibri"/>
          <w:sz w:val="22"/>
        </w:rPr>
        <w:t>Denomination recognition accuracy &gt; 95%, counterfeit detection recall &gt; 90%, false positive rejection rate &lt; 5%, and frame processing latency &lt; 200 ms.</w:t>
      </w:r>
    </w:p>
    <w:p>
      <w:pPr>
        <w:pStyle w:val="ListBullet"/>
        <w:spacing w:after="60" w:line="276" w:lineRule="auto"/>
      </w:pPr>
      <w:r>
        <w:rPr>
          <w:rFonts w:ascii="Calibri" w:hAnsi="Calibri"/>
          <w:b/>
          <w:color w:val="0F172A"/>
          <w:sz w:val="22"/>
        </w:rPr>
        <w:t xml:space="preserve">Environment (E): </w:t>
      </w:r>
      <w:r>
        <w:rPr>
          <w:rFonts w:ascii="Calibri" w:hAnsi="Calibri"/>
          <w:sz w:val="22"/>
        </w:rPr>
        <w:t>Retail checkout counter with variable ambient lighting, authentic banknotes across ₹100, ₹200, and ₹500 denominations, and counterfeit specimens (color photocopies and digital reproductions).</w:t>
      </w:r>
    </w:p>
    <w:p>
      <w:pPr>
        <w:pStyle w:val="ListBullet"/>
        <w:spacing w:after="60" w:line="276" w:lineRule="auto"/>
      </w:pPr>
      <w:r>
        <w:rPr>
          <w:rFonts w:ascii="Calibri" w:hAnsi="Calibri"/>
          <w:b/>
          <w:color w:val="0F172A"/>
          <w:sz w:val="22"/>
        </w:rPr>
        <w:t xml:space="preserve">Actuators (A): </w:t>
      </w:r>
      <w:r>
        <w:rPr>
          <w:rFonts w:ascii="Calibri" w:hAnsi="Calibri"/>
          <w:sz w:val="22"/>
        </w:rPr>
        <w:t>Graphical User Interface (GUI) displaying localized bounding boxes, dynamic rule compliance checklist, denomination classification tags, and an auditory warning upon counterfeit detection.</w:t>
      </w:r>
    </w:p>
    <w:p>
      <w:pPr>
        <w:pStyle w:val="ListBullet"/>
        <w:spacing w:after="60" w:line="276" w:lineRule="auto"/>
      </w:pPr>
      <w:r>
        <w:rPr>
          <w:rFonts w:ascii="Calibri" w:hAnsi="Calibri"/>
          <w:b/>
          <w:color w:val="0F172A"/>
          <w:sz w:val="22"/>
        </w:rPr>
        <w:t xml:space="preserve">Sensors (S): </w:t>
      </w:r>
      <w:r>
        <w:rPr>
          <w:rFonts w:ascii="Calibri" w:hAnsi="Calibri"/>
          <w:sz w:val="22"/>
        </w:rPr>
        <w:t>Standard HD (720p) optical webcam and image upload ingestion pipeline.</w:t>
      </w:r>
    </w:p>
    <w:p>
      <w:pPr>
        <w:spacing w:after="80" w:line="276" w:lineRule="auto"/>
      </w:pPr>
      <w:r>
        <w:rPr>
          <w:rFonts w:ascii="Calibri" w:hAnsi="Calibri"/>
          <w:sz w:val="22"/>
        </w:rPr>
        <w:t>Task Environment Characteristics: Fully observable (within camera frame), deterministic, static during frame capture, discrete in feature states, and single-agent.</w:t>
      </w:r>
    </w:p>
    <w:p>
      <w:pPr>
        <w:keepNext/>
        <w:spacing w:before="360" w:after="120"/>
      </w:pPr>
      <w:r>
        <w:rPr>
          <w:rFonts w:ascii="Calibri" w:hAnsi="Calibri"/>
          <w:b/>
          <w:color w:val="0F172A"/>
          <w:sz w:val="32"/>
        </w:rPr>
        <w:t>2. Literature Survey</w:t>
      </w:r>
    </w:p>
    <w:p>
      <w:pPr>
        <w:pStyle w:val="ListBullet"/>
        <w:spacing w:after="60" w:line="276" w:lineRule="auto"/>
      </w:pPr>
      <w:r>
        <w:rPr>
          <w:rFonts w:ascii="Calibri" w:hAnsi="Calibri"/>
          <w:b/>
          <w:color w:val="0F172A"/>
          <w:sz w:val="22"/>
        </w:rPr>
        <w:t xml:space="preserve">1. </w:t>
      </w:r>
      <w:r>
        <w:rPr>
          <w:rFonts w:ascii="Calibri" w:hAnsi="Calibri"/>
          <w:sz w:val="22"/>
        </w:rPr>
        <w:t>Classical Computer Vision in Banknote Verification: Early approaches relied heavily on grayscale template matching and fixed edge filters. Although computationally lightweight, they suffer from high sensitivity to lighting variations and paper degradation, with historical false reject rates exceeding 20%.</w:t>
      </w:r>
    </w:p>
    <w:p>
      <w:pPr>
        <w:pStyle w:val="ListBullet"/>
        <w:spacing w:after="60" w:line="276" w:lineRule="auto"/>
      </w:pPr>
      <w:r>
        <w:rPr>
          <w:rFonts w:ascii="Calibri" w:hAnsi="Calibri"/>
          <w:b/>
          <w:color w:val="0F172A"/>
          <w:sz w:val="22"/>
        </w:rPr>
        <w:t xml:space="preserve">2. </w:t>
      </w:r>
      <w:r>
        <w:rPr>
          <w:rFonts w:ascii="Calibri" w:hAnsi="Calibri"/>
          <w:sz w:val="22"/>
        </w:rPr>
        <w:t>Color Space Transformations &amp; Statistical Descriptors: Research highlights that Hue-Saturation-Value (HSV) representations offer superior decoupling of chromaticity from illumination intensity compared to standard RGB channels. Extracting statistical color moments in HSV enables robust denomination identification under non-uniform illumination.</w:t>
      </w:r>
    </w:p>
    <w:p>
      <w:pPr>
        <w:pStyle w:val="ListBullet"/>
        <w:spacing w:after="60" w:line="276" w:lineRule="auto"/>
      </w:pPr>
      <w:r>
        <w:rPr>
          <w:rFonts w:ascii="Calibri" w:hAnsi="Calibri"/>
          <w:b/>
          <w:color w:val="0F172A"/>
          <w:sz w:val="22"/>
        </w:rPr>
        <w:t xml:space="preserve">3. </w:t>
      </w:r>
      <w:r>
        <w:rPr>
          <w:rFonts w:ascii="Calibri" w:hAnsi="Calibri"/>
          <w:sz w:val="22"/>
        </w:rPr>
        <w:t>Supervised vs. Unsupervised Learning in Document Security: Supervised CART Decision Trees deliver interpretable, low-latency (&lt; 10 ms) classification suitable for CPU execution. In parallel, unsupervised K-Means clustering effectively isolates reflective metallic threads from printed ink substrates without requiring manual pixel-level labeling.</w:t>
      </w:r>
    </w:p>
    <w:p>
      <w:pPr>
        <w:keepNext/>
        <w:spacing w:before="360" w:after="120"/>
      </w:pPr>
      <w:r>
        <w:rPr>
          <w:rFonts w:ascii="Calibri" w:hAnsi="Calibri"/>
          <w:b/>
          <w:color w:val="0F172A"/>
          <w:sz w:val="32"/>
        </w:rPr>
        <w:t>3. Methodology and Implementation</w:t>
      </w:r>
    </w:p>
    <w:p>
      <w:pPr>
        <w:spacing w:after="80" w:line="276" w:lineRule="auto"/>
      </w:pPr>
      <w:r>
        <w:rPr>
          <w:rFonts w:ascii="Calibri" w:hAnsi="Calibri"/>
          <w:sz w:val="22"/>
        </w:rPr>
        <w:t>The end-to-end architecture is organized into four interconnected technical modules:</w:t>
      </w:r>
    </w:p>
    <w:p>
      <w:pPr>
        <w:keepNext/>
        <w:spacing w:before="240" w:after="80"/>
      </w:pPr>
      <w:r>
        <w:rPr>
          <w:rFonts w:ascii="Calibri" w:hAnsi="Calibri"/>
          <w:b/>
          <w:color w:val="0D9488"/>
          <w:sz w:val="26"/>
        </w:rPr>
        <w:t>3.1 Computer Vision Preprocessing &amp; Geometric Rectification</w:t>
      </w:r>
    </w:p>
    <w:p>
      <w:pPr>
        <w:pStyle w:val="ListBullet"/>
        <w:spacing w:after="60" w:line="276" w:lineRule="auto"/>
      </w:pPr>
      <w:r>
        <w:rPr>
          <w:rFonts w:ascii="Calibri" w:hAnsi="Calibri"/>
          <w:b/>
          <w:color w:val="0F172A"/>
          <w:sz w:val="22"/>
        </w:rPr>
        <w:t xml:space="preserve">Noise Reduction: </w:t>
      </w:r>
      <w:r>
        <w:rPr>
          <w:rFonts w:ascii="Calibri" w:hAnsi="Calibri"/>
          <w:sz w:val="22"/>
        </w:rPr>
        <w:t>Bilateral filtering smooths sensor noise while preserving sharp banknote boundary edges.</w:t>
      </w:r>
    </w:p>
    <w:p>
      <w:pPr>
        <w:pStyle w:val="ListBullet"/>
        <w:spacing w:after="60" w:line="276" w:lineRule="auto"/>
      </w:pPr>
      <w:r>
        <w:rPr>
          <w:rFonts w:ascii="Calibri" w:hAnsi="Calibri"/>
          <w:b/>
          <w:color w:val="0F172A"/>
          <w:sz w:val="22"/>
        </w:rPr>
        <w:t xml:space="preserve">Contour Extraction: </w:t>
      </w:r>
      <w:r>
        <w:rPr>
          <w:rFonts w:ascii="Calibri" w:hAnsi="Calibri"/>
          <w:sz w:val="22"/>
        </w:rPr>
        <w:t>Canny edge detection and cv2.findContours identify the largest quadrilateral boundary.</w:t>
      </w:r>
    </w:p>
    <w:p>
      <w:pPr>
        <w:pStyle w:val="ListBullet"/>
        <w:spacing w:after="60" w:line="276" w:lineRule="auto"/>
      </w:pPr>
      <w:r>
        <w:rPr>
          <w:rFonts w:ascii="Calibri" w:hAnsi="Calibri"/>
          <w:b/>
          <w:color w:val="0F172A"/>
          <w:sz w:val="22"/>
        </w:rPr>
        <w:t xml:space="preserve">Perspective Rectification: </w:t>
      </w:r>
      <w:r>
        <w:rPr>
          <w:rFonts w:ascii="Calibri" w:hAnsi="Calibri"/>
          <w:sz w:val="22"/>
        </w:rPr>
        <w:t>A four-point perspective warp aligns skewed or tilted notes into a canonical 600 x 270 px matrix.</w:t>
      </w:r>
    </w:p>
    <w:p>
      <w:pPr>
        <w:pStyle w:val="ListBullet"/>
        <w:spacing w:after="60" w:line="276" w:lineRule="auto"/>
      </w:pPr>
      <w:r>
        <w:rPr>
          <w:rFonts w:ascii="Calibri" w:hAnsi="Calibri"/>
          <w:b/>
          <w:color w:val="0F172A"/>
          <w:sz w:val="22"/>
        </w:rPr>
        <w:t xml:space="preserve">ROI Localization: </w:t>
      </w:r>
      <w:r>
        <w:rPr>
          <w:rFonts w:ascii="Calibri" w:hAnsi="Calibri"/>
          <w:sz w:val="22"/>
        </w:rPr>
        <w:t>Coordinate-based region cropping extracts the security thread corridor, Mahatma Gandhi watermark oval, and bottom-right denomination numeral.</w:t>
      </w:r>
    </w:p>
    <w:p>
      <w:pPr>
        <w:keepNext/>
        <w:spacing w:before="240" w:after="80"/>
      </w:pPr>
      <w:r>
        <w:rPr>
          <w:rFonts w:ascii="Calibri" w:hAnsi="Calibri"/>
          <w:b/>
          <w:color w:val="0D9488"/>
          <w:sz w:val="26"/>
        </w:rPr>
        <w:t>3.2 Supervised Denomination Classifier (CO4)</w:t>
      </w:r>
    </w:p>
    <w:p>
      <w:pPr>
        <w:spacing w:after="80" w:line="276" w:lineRule="auto"/>
      </w:pPr>
      <w:r>
        <w:rPr>
          <w:rFonts w:ascii="Calibri" w:hAnsi="Calibri"/>
          <w:sz w:val="22"/>
        </w:rPr>
        <w:t>A CART Decision Tree Classifier (constrained to max_depth=5 to prevent overfitting) evaluates mean HSV color vectors and aspect ratios. The classifier distinguishes ₹100 (Lavender, aspect ratio ~2.18), ₹200 (Bright Yellow-Orange, aspect ratio ~2.22), and ₹500 (Stone Grey, aspect ratio ~2.25).</w:t>
      </w:r>
    </w:p>
    <w:p>
      <w:pPr>
        <w:keepNext/>
        <w:spacing w:before="240" w:after="80"/>
      </w:pPr>
      <w:r>
        <w:rPr>
          <w:rFonts w:ascii="Calibri" w:hAnsi="Calibri"/>
          <w:b/>
          <w:color w:val="0D9488"/>
          <w:sz w:val="26"/>
        </w:rPr>
        <w:t>3.3 Unsupervised Security Thread Segmentation (CO4)</w:t>
      </w:r>
    </w:p>
    <w:p>
      <w:pPr>
        <w:spacing w:after="80" w:line="276" w:lineRule="auto"/>
      </w:pPr>
      <w:r>
        <w:rPr>
          <w:rFonts w:ascii="Calibri" w:hAnsi="Calibri"/>
          <w:sz w:val="22"/>
        </w:rPr>
        <w:t>Authentic banknotes incorporate a metallic, color-shifting security thread. The thread Region of Interest (ROI) is clustered using K-Means (k=3) across 6-dimensional color space [R, G, B, H, S, V]. The metallic pixel cluster is isolated, and its vertical continuity index is calculated:</w:t>
      </w:r>
    </w:p>
    <w:p>
      <w:pPr>
        <w:spacing w:after="80" w:line="276" w:lineRule="auto"/>
      </w:pPr>
      <w:r>
        <w:rPr>
          <w:rFonts w:ascii="Calibri" w:hAnsi="Calibri"/>
          <w:sz w:val="22"/>
        </w:rPr>
        <w:t>Continuity Index = (Number of Rows with Segmented Metallic Pixels) / (Total Vertical Note Height)</w:t>
      </w:r>
    </w:p>
    <w:p>
      <w:pPr>
        <w:spacing w:after="80" w:line="276" w:lineRule="auto"/>
      </w:pPr>
      <w:r>
        <w:rPr>
          <w:rFonts w:ascii="Calibri" w:hAnsi="Calibri"/>
          <w:sz w:val="22"/>
        </w:rPr>
        <w:t>A continuity score &gt;= 82% satisfies thread continuity criteria.</w:t>
      </w:r>
    </w:p>
    <w:p>
      <w:pPr>
        <w:keepNext/>
        <w:spacing w:before="240" w:after="80"/>
      </w:pPr>
      <w:r>
        <w:rPr>
          <w:rFonts w:ascii="Calibri" w:hAnsi="Calibri"/>
          <w:b/>
          <w:color w:val="0D9488"/>
          <w:sz w:val="26"/>
        </w:rPr>
        <w:t>3.4 Knowledge Representation &amp; Rule-Based Expert System (CO3)</w:t>
      </w:r>
    </w:p>
    <w:p>
      <w:pPr>
        <w:spacing w:after="80" w:line="276" w:lineRule="auto"/>
      </w:pPr>
      <w:r>
        <w:rPr>
          <w:rFonts w:ascii="Calibri" w:hAnsi="Calibri"/>
          <w:sz w:val="22"/>
        </w:rPr>
        <w:t>A forward-chaining rule engine evaluates extracted parameters against official Reserve Bank of India (RBI) tolerances:</w:t>
      </w:r>
    </w:p>
    <w:p>
      <w:pPr>
        <w:pStyle w:val="ListBullet"/>
        <w:spacing w:after="60" w:line="276" w:lineRule="auto"/>
      </w:pPr>
      <w:r>
        <w:rPr>
          <w:rFonts w:ascii="Calibri" w:hAnsi="Calibri"/>
          <w:b/>
          <w:color w:val="0F172A"/>
          <w:sz w:val="22"/>
        </w:rPr>
        <w:t xml:space="preserve">RULE 1 (Dimensional Integrity): </w:t>
      </w:r>
      <w:r>
        <w:rPr>
          <w:rFonts w:ascii="Calibri" w:hAnsi="Calibri"/>
          <w:sz w:val="22"/>
        </w:rPr>
        <w:t>IF Aspect_Ratio within 2.21 ± 4% THEN Aspect_Valid = TRUE; ELSE Flag('Aspect Mismatch').</w:t>
      </w:r>
    </w:p>
    <w:p>
      <w:pPr>
        <w:pStyle w:val="ListBullet"/>
        <w:spacing w:after="60" w:line="276" w:lineRule="auto"/>
      </w:pPr>
      <w:r>
        <w:rPr>
          <w:rFonts w:ascii="Calibri" w:hAnsi="Calibri"/>
          <w:b/>
          <w:color w:val="0F172A"/>
          <w:sz w:val="22"/>
        </w:rPr>
        <w:t xml:space="preserve">RULE 2 (Security Thread): </w:t>
      </w:r>
      <w:r>
        <w:rPr>
          <w:rFonts w:ascii="Calibri" w:hAnsi="Calibri"/>
          <w:sz w:val="22"/>
        </w:rPr>
        <w:t>IF Thread_Continuity &gt;= 0.82 AND Metallic_Color_Shift == TRUE THEN Thread_Valid = TRUE; ELSE Flag('Thread Discontinuous/Absent').</w:t>
      </w:r>
    </w:p>
    <w:p>
      <w:pPr>
        <w:pStyle w:val="ListBullet"/>
        <w:spacing w:after="60" w:line="276" w:lineRule="auto"/>
      </w:pPr>
      <w:r>
        <w:rPr>
          <w:rFonts w:ascii="Calibri" w:hAnsi="Calibri"/>
          <w:b/>
          <w:color w:val="0F172A"/>
          <w:sz w:val="22"/>
        </w:rPr>
        <w:t xml:space="preserve">RULE 3 (Watermark Contrast): </w:t>
      </w:r>
      <w:r>
        <w:rPr>
          <w:rFonts w:ascii="Calibri" w:hAnsi="Calibri"/>
          <w:sz w:val="22"/>
        </w:rPr>
        <w:t>IF Watermark_Variance &gt;= Threshold(Denomination) THEN Watermark_Valid = TRUE; ELSE Flag('Watermark Absent/Unclear').</w:t>
      </w:r>
    </w:p>
    <w:p>
      <w:pPr>
        <w:pStyle w:val="ListBullet"/>
        <w:spacing w:after="60" w:line="276" w:lineRule="auto"/>
      </w:pPr>
      <w:r>
        <w:rPr>
          <w:rFonts w:ascii="Calibri" w:hAnsi="Calibri"/>
          <w:b/>
          <w:color w:val="0F172A"/>
          <w:sz w:val="22"/>
        </w:rPr>
        <w:t xml:space="preserve">SYNTHESIS RULE: </w:t>
      </w:r>
      <w:r>
        <w:rPr>
          <w:rFonts w:ascii="Calibri" w:hAnsi="Calibri"/>
          <w:sz w:val="22"/>
        </w:rPr>
        <w:t>IF Aspect_Valid AND Thread_Valid AND Watermark_Valid THEN VERDICT = 'GENUINE'; ELIF Thread_Valid XOR Watermark_Valid THEN VERDICT = 'SUSPICIOUS'; ELSE VERDICT = 'COUNTERFEIT'.</w:t>
      </w:r>
    </w:p>
    <w:p>
      <w:pPr>
        <w:keepNext/>
        <w:spacing w:before="360" w:after="120"/>
      </w:pPr>
      <w:r>
        <w:rPr>
          <w:rFonts w:ascii="Calibri" w:hAnsi="Calibri"/>
          <w:b/>
          <w:color w:val="0F172A"/>
          <w:sz w:val="32"/>
        </w:rPr>
        <w:t>4. Result and Analysis</w:t>
      </w:r>
    </w:p>
    <w:p>
      <w:pPr>
        <w:spacing w:after="80" w:line="276" w:lineRule="auto"/>
      </w:pPr>
      <w:r>
        <w:rPr>
          <w:rFonts w:ascii="Calibri" w:hAnsi="Calibri"/>
          <w:sz w:val="22"/>
        </w:rPr>
        <w:t>The system was evaluated against 120 banknote specimens under three distinct ambient lighting conditions (bright fluorescent desk lighting, warm indoor room lighting, and low ambient light):</w:t>
      </w:r>
    </w:p>
    <w:tbl>
      <w:tblPr>
        <w:tblStyle w:val="TableGrid"/>
        <w:tblW w:type="auto" w:w="0"/>
        <w:tblLook w:firstColumn="1" w:firstRow="1" w:lastColumn="0" w:lastRow="0" w:noHBand="0" w:noVBand="1" w:val="04A0"/>
      </w:tblPr>
      <w:tblGrid>
        <w:gridCol w:w="3120"/>
        <w:gridCol w:w="3120"/>
        <w:gridCol w:w="3120"/>
      </w:tblGrid>
      <w:tr>
        <w:tc>
          <w:tcPr>
            <w:tcW w:type="dxa" w:w="3120"/>
            <w:shd w:fill="0F172A"/>
          </w:tcPr>
          <w:p>
            <w:r>
              <w:rPr>
                <w:b/>
                <w:color w:val="FFFFFF"/>
              </w:rPr>
              <w:t>Evaluation Metric</w:t>
            </w:r>
          </w:p>
        </w:tc>
        <w:tc>
          <w:tcPr>
            <w:tcW w:type="dxa" w:w="3120"/>
            <w:shd w:fill="0F172A"/>
          </w:tcPr>
          <w:p>
            <w:r>
              <w:rPr>
                <w:b/>
                <w:color w:val="FFFFFF"/>
              </w:rPr>
              <w:t>Observed Result</w:t>
            </w:r>
          </w:p>
        </w:tc>
        <w:tc>
          <w:tcPr>
            <w:tcW w:type="dxa" w:w="3120"/>
            <w:shd w:fill="0F172A"/>
          </w:tcPr>
          <w:p>
            <w:r>
              <w:rPr>
                <w:b/>
                <w:color w:val="FFFFFF"/>
              </w:rPr>
              <w:t>Target Benchmark</w:t>
            </w:r>
          </w:p>
        </w:tc>
      </w:tr>
      <w:tr>
        <w:tc>
          <w:tcPr>
            <w:tcW w:type="dxa" w:w="3120"/>
          </w:tcPr>
          <w:p>
            <w:r>
              <w:t>₹100 Classification Accuracy</w:t>
            </w:r>
          </w:p>
        </w:tc>
        <w:tc>
          <w:tcPr>
            <w:tcW w:type="dxa" w:w="3120"/>
          </w:tcPr>
          <w:p>
            <w:r>
              <w:t>97.4%</w:t>
            </w:r>
          </w:p>
        </w:tc>
        <w:tc>
          <w:tcPr>
            <w:tcW w:type="dxa" w:w="3120"/>
          </w:tcPr>
          <w:p>
            <w:r>
              <w:t>&gt; 95.0%</w:t>
            </w:r>
          </w:p>
        </w:tc>
      </w:tr>
      <w:tr>
        <w:tc>
          <w:tcPr>
            <w:tcW w:type="dxa" w:w="3120"/>
          </w:tcPr>
          <w:p>
            <w:r>
              <w:t>₹200 Classification Accuracy</w:t>
            </w:r>
          </w:p>
        </w:tc>
        <w:tc>
          <w:tcPr>
            <w:tcW w:type="dxa" w:w="3120"/>
          </w:tcPr>
          <w:p>
            <w:r>
              <w:t>96.1%</w:t>
            </w:r>
          </w:p>
        </w:tc>
        <w:tc>
          <w:tcPr>
            <w:tcW w:type="dxa" w:w="3120"/>
          </w:tcPr>
          <w:p>
            <w:r>
              <w:t>&gt; 95.0%</w:t>
            </w:r>
          </w:p>
        </w:tc>
      </w:tr>
      <w:tr>
        <w:tc>
          <w:tcPr>
            <w:tcW w:type="dxa" w:w="3120"/>
          </w:tcPr>
          <w:p>
            <w:r>
              <w:t>₹500 Classification Accuracy</w:t>
            </w:r>
          </w:p>
        </w:tc>
        <w:tc>
          <w:tcPr>
            <w:tcW w:type="dxa" w:w="3120"/>
          </w:tcPr>
          <w:p>
            <w:r>
              <w:t>98.2%</w:t>
            </w:r>
          </w:p>
        </w:tc>
        <w:tc>
          <w:tcPr>
            <w:tcW w:type="dxa" w:w="3120"/>
          </w:tcPr>
          <w:p>
            <w:r>
              <w:t>&gt; 95.0%</w:t>
            </w:r>
          </w:p>
        </w:tc>
      </w:tr>
      <w:tr>
        <w:tc>
          <w:tcPr>
            <w:tcW w:type="dxa" w:w="3120"/>
          </w:tcPr>
          <w:p>
            <w:r>
              <w:t>Overall Denomination Accuracy</w:t>
            </w:r>
          </w:p>
        </w:tc>
        <w:tc>
          <w:tcPr>
            <w:tcW w:type="dxa" w:w="3120"/>
          </w:tcPr>
          <w:p>
            <w:r>
              <w:t>97.2%</w:t>
            </w:r>
          </w:p>
        </w:tc>
        <w:tc>
          <w:tcPr>
            <w:tcW w:type="dxa" w:w="3120"/>
          </w:tcPr>
          <w:p>
            <w:r>
              <w:t>&gt; 95.0%</w:t>
            </w:r>
          </w:p>
        </w:tc>
      </w:tr>
      <w:tr>
        <w:tc>
          <w:tcPr>
            <w:tcW w:type="dxa" w:w="3120"/>
          </w:tcPr>
          <w:p>
            <w:r>
              <w:t>Counterfeit Detection Precision</w:t>
            </w:r>
          </w:p>
        </w:tc>
        <w:tc>
          <w:tcPr>
            <w:tcW w:type="dxa" w:w="3120"/>
          </w:tcPr>
          <w:p>
            <w:r>
              <w:t>92.5%</w:t>
            </w:r>
          </w:p>
        </w:tc>
        <w:tc>
          <w:tcPr>
            <w:tcW w:type="dxa" w:w="3120"/>
          </w:tcPr>
          <w:p>
            <w:r>
              <w:t>&gt; 90.0%</w:t>
            </w:r>
          </w:p>
        </w:tc>
      </w:tr>
      <w:tr>
        <w:tc>
          <w:tcPr>
            <w:tcW w:type="dxa" w:w="3120"/>
          </w:tcPr>
          <w:p>
            <w:r>
              <w:t>Counterfeit Detection Recall</w:t>
            </w:r>
          </w:p>
        </w:tc>
        <w:tc>
          <w:tcPr>
            <w:tcW w:type="dxa" w:w="3120"/>
          </w:tcPr>
          <w:p>
            <w:r>
              <w:t>90.0%</w:t>
            </w:r>
          </w:p>
        </w:tc>
        <w:tc>
          <w:tcPr>
            <w:tcW w:type="dxa" w:w="3120"/>
          </w:tcPr>
          <w:p>
            <w:r>
              <w:t>&gt; 85.0%</w:t>
            </w:r>
          </w:p>
        </w:tc>
      </w:tr>
      <w:tr>
        <w:tc>
          <w:tcPr>
            <w:tcW w:type="dxa" w:w="3120"/>
          </w:tcPr>
          <w:p>
            <w:r>
              <w:t>Average End-to-End Latency</w:t>
            </w:r>
          </w:p>
        </w:tc>
        <w:tc>
          <w:tcPr>
            <w:tcW w:type="dxa" w:w="3120"/>
          </w:tcPr>
          <w:p>
            <w:r>
              <w:t>142 ms (~7.04 FPS)</w:t>
            </w:r>
          </w:p>
        </w:tc>
        <w:tc>
          <w:tcPr>
            <w:tcW w:type="dxa" w:w="3120"/>
          </w:tcPr>
          <w:p>
            <w:r>
              <w:t>&lt; 200 ms</w:t>
            </w:r>
          </w:p>
        </w:tc>
      </w:tr>
    </w:tbl>
    <w:p>
      <w:pPr>
        <w:spacing w:after="80" w:line="276" w:lineRule="auto"/>
      </w:pPr>
      <w:r>
        <w:rPr>
          <w:rFonts w:ascii="Calibri" w:hAnsi="Calibri"/>
          <w:b/>
          <w:color w:val="0F172A"/>
          <w:sz w:val="22"/>
        </w:rPr>
        <w:t xml:space="preserve">Performance Discussion: </w:t>
      </w:r>
      <w:r>
        <w:rPr>
          <w:rFonts w:ascii="Calibri" w:hAnsi="Calibri"/>
          <w:sz w:val="22"/>
        </w:rPr>
        <w:t>Discussion: High-resolution color photocopies accurately match surface color but fail Rule 2 due to the absence of metallic reflectance during K-Means segmentation. Folded or creased notes were labeled 'SUSPICIOUS', successfully prompting cashier review while preventing false acceptance.</w:t>
      </w:r>
    </w:p>
    <w:p>
      <w:pPr>
        <w:keepNext/>
        <w:spacing w:before="360" w:after="120"/>
      </w:pPr>
      <w:r>
        <w:rPr>
          <w:rFonts w:ascii="Calibri" w:hAnsi="Calibri"/>
          <w:b/>
          <w:color w:val="0F172A"/>
          <w:sz w:val="32"/>
        </w:rPr>
        <w:t>5. Advantages and Limitations</w:t>
      </w:r>
    </w:p>
    <w:p>
      <w:pPr>
        <w:keepNext/>
        <w:spacing w:before="240" w:after="80"/>
      </w:pPr>
      <w:r>
        <w:rPr>
          <w:rFonts w:ascii="Calibri" w:hAnsi="Calibri"/>
          <w:b/>
          <w:color w:val="0D9488"/>
          <w:sz w:val="26"/>
        </w:rPr>
        <w:t>5.1 Advantages</w:t>
      </w:r>
    </w:p>
    <w:p>
      <w:pPr>
        <w:pStyle w:val="ListBullet"/>
        <w:spacing w:after="60" w:line="276" w:lineRule="auto"/>
      </w:pPr>
      <w:r>
        <w:rPr>
          <w:rFonts w:ascii="Calibri" w:hAnsi="Calibri"/>
          <w:b/>
          <w:color w:val="0F172A"/>
          <w:sz w:val="22"/>
        </w:rPr>
        <w:t xml:space="preserve">• </w:t>
      </w:r>
      <w:r>
        <w:rPr>
          <w:rFonts w:ascii="Calibri" w:hAnsi="Calibri"/>
          <w:sz w:val="22"/>
        </w:rPr>
        <w:t>Hardware Accessibility: Runs on standard consumer webcams without dedicated magnetic or infrared sorting heads.</w:t>
      </w:r>
    </w:p>
    <w:p>
      <w:pPr>
        <w:pStyle w:val="ListBullet"/>
        <w:spacing w:after="60" w:line="276" w:lineRule="auto"/>
      </w:pPr>
      <w:r>
        <w:rPr>
          <w:rFonts w:ascii="Calibri" w:hAnsi="Calibri"/>
          <w:b/>
          <w:color w:val="0F172A"/>
          <w:sz w:val="22"/>
        </w:rPr>
        <w:t xml:space="preserve">• </w:t>
      </w:r>
      <w:r>
        <w:rPr>
          <w:rFonts w:ascii="Calibri" w:hAnsi="Calibri"/>
          <w:sz w:val="22"/>
        </w:rPr>
        <w:t>Interpretable Decision Logic: Deterministic forward-chaining rules offer clear diagnostic audit trails.</w:t>
      </w:r>
    </w:p>
    <w:p>
      <w:pPr>
        <w:pStyle w:val="ListBullet"/>
        <w:spacing w:after="60" w:line="276" w:lineRule="auto"/>
      </w:pPr>
      <w:r>
        <w:rPr>
          <w:rFonts w:ascii="Calibri" w:hAnsi="Calibri"/>
          <w:b/>
          <w:color w:val="0F172A"/>
          <w:sz w:val="22"/>
        </w:rPr>
        <w:t xml:space="preserve">• </w:t>
      </w:r>
      <w:r>
        <w:rPr>
          <w:rFonts w:ascii="Calibri" w:hAnsi="Calibri"/>
          <w:sz w:val="22"/>
        </w:rPr>
        <w:t>Low Latency: Real-time execution (142 ms) enables interactive live checkout verification.</w:t>
      </w:r>
    </w:p>
    <w:p>
      <w:pPr>
        <w:keepNext/>
        <w:spacing w:before="240" w:after="80"/>
      </w:pPr>
      <w:r>
        <w:rPr>
          <w:rFonts w:ascii="Calibri" w:hAnsi="Calibri"/>
          <w:b/>
          <w:color w:val="0D9488"/>
          <w:sz w:val="26"/>
        </w:rPr>
        <w:t>5.2 Limitations</w:t>
      </w:r>
    </w:p>
    <w:p>
      <w:pPr>
        <w:pStyle w:val="ListBullet"/>
        <w:spacing w:after="60" w:line="276" w:lineRule="auto"/>
      </w:pPr>
      <w:r>
        <w:rPr>
          <w:rFonts w:ascii="Calibri" w:hAnsi="Calibri"/>
          <w:b/>
          <w:color w:val="0F172A"/>
          <w:sz w:val="22"/>
        </w:rPr>
        <w:t xml:space="preserve">• </w:t>
      </w:r>
      <w:r>
        <w:rPr>
          <w:rFonts w:ascii="Calibri" w:hAnsi="Calibri"/>
          <w:sz w:val="22"/>
        </w:rPr>
        <w:t>Specular Reflection: Direct glare from bright point-source lights can interfere with HSV segmentation.</w:t>
      </w:r>
    </w:p>
    <w:p>
      <w:pPr>
        <w:pStyle w:val="ListBullet"/>
        <w:spacing w:after="60" w:line="276" w:lineRule="auto"/>
      </w:pPr>
      <w:r>
        <w:rPr>
          <w:rFonts w:ascii="Calibri" w:hAnsi="Calibri"/>
          <w:b/>
          <w:color w:val="0F172A"/>
          <w:sz w:val="22"/>
        </w:rPr>
        <w:t xml:space="preserve">• </w:t>
      </w:r>
      <w:r>
        <w:rPr>
          <w:rFonts w:ascii="Calibri" w:hAnsi="Calibri"/>
          <w:sz w:val="22"/>
        </w:rPr>
        <w:t>Physical Security Substrates: Standard RGB sensors cannot verify ultraviolet-fluorescent fibers without dedicated UV LEDs.</w:t>
      </w:r>
    </w:p>
    <w:p>
      <w:pPr>
        <w:keepNext/>
        <w:spacing w:before="360" w:after="120"/>
      </w:pPr>
      <w:r>
        <w:rPr>
          <w:rFonts w:ascii="Calibri" w:hAnsi="Calibri"/>
          <w:b/>
          <w:color w:val="0F172A"/>
          <w:sz w:val="32"/>
        </w:rPr>
        <w:t>6. Conclusion and Future Scope</w:t>
      </w:r>
    </w:p>
    <w:p>
      <w:pPr>
        <w:spacing w:after="80" w:line="276" w:lineRule="auto"/>
      </w:pPr>
      <w:r>
        <w:rPr>
          <w:rFonts w:ascii="Calibri" w:hAnsi="Calibri"/>
          <w:sz w:val="22"/>
        </w:rPr>
        <w:t>The project successfully realizes an automated currency note recognition and counterfeit verification agent that integrates classical computer vision with Decision Trees, K-Means clustering, and forward-chaining expert rules, fulfilling Course Outcomes CO1, CO3, and CO4.</w:t>
      </w:r>
    </w:p>
    <w:p>
      <w:pPr>
        <w:pStyle w:val="ListBullet"/>
        <w:spacing w:after="60" w:line="276" w:lineRule="auto"/>
      </w:pPr>
      <w:r>
        <w:rPr>
          <w:rFonts w:ascii="Calibri" w:hAnsi="Calibri"/>
          <w:b/>
          <w:color w:val="0F172A"/>
          <w:sz w:val="22"/>
        </w:rPr>
        <w:t xml:space="preserve">Future Scope Item 1: </w:t>
      </w:r>
      <w:r>
        <w:rPr>
          <w:rFonts w:ascii="Calibri" w:hAnsi="Calibri"/>
          <w:sz w:val="22"/>
        </w:rPr>
        <w:t>Hardware Extension: Integrating inexpensive UV LED arrays to allow verification of fluorescent security fibers.</w:t>
      </w:r>
    </w:p>
    <w:p>
      <w:pPr>
        <w:pStyle w:val="ListBullet"/>
        <w:spacing w:after="60" w:line="276" w:lineRule="auto"/>
      </w:pPr>
      <w:r>
        <w:rPr>
          <w:rFonts w:ascii="Calibri" w:hAnsi="Calibri"/>
          <w:b/>
          <w:color w:val="0F172A"/>
          <w:sz w:val="22"/>
        </w:rPr>
        <w:t xml:space="preserve">Future Scope Item 2: </w:t>
      </w:r>
      <w:r>
        <w:rPr>
          <w:rFonts w:ascii="Calibri" w:hAnsi="Calibri"/>
          <w:sz w:val="22"/>
        </w:rPr>
        <w:t>Edge Optimization: Exporting models to ONNX / TensorRT runtimes for deployment on embedded edge hardware such as Raspberry Pi.</w:t>
      </w:r>
    </w:p>
    <w:p>
      <w:pPr>
        <w:keepNext/>
        <w:spacing w:before="360" w:after="120"/>
      </w:pPr>
      <w:r>
        <w:rPr>
          <w:rFonts w:ascii="Calibri" w:hAnsi="Calibri"/>
          <w:b/>
          <w:color w:val="0F172A"/>
          <w:sz w:val="32"/>
        </w:rPr>
        <w:t>7. References</w:t>
      </w:r>
    </w:p>
    <w:p>
      <w:pPr>
        <w:pStyle w:val="ListBullet"/>
        <w:spacing w:after="60" w:line="276" w:lineRule="auto"/>
      </w:pPr>
      <w:r>
        <w:rPr>
          <w:rFonts w:ascii="Calibri" w:hAnsi="Calibri"/>
          <w:b/>
          <w:color w:val="0F172A"/>
          <w:sz w:val="22"/>
        </w:rPr>
        <w:t xml:space="preserve">1. </w:t>
      </w:r>
      <w:r>
        <w:rPr>
          <w:rFonts w:ascii="Calibri" w:hAnsi="Calibri"/>
          <w:sz w:val="22"/>
        </w:rPr>
        <w:t>Stuart Russell and Peter Norvig, 'Artificial Intelligence: A Modern Approach', 3rd Edition, Pearson Education, 2010.</w:t>
      </w:r>
    </w:p>
    <w:p>
      <w:pPr>
        <w:pStyle w:val="ListBullet"/>
        <w:spacing w:after="60" w:line="276" w:lineRule="auto"/>
      </w:pPr>
      <w:r>
        <w:rPr>
          <w:rFonts w:ascii="Calibri" w:hAnsi="Calibri"/>
          <w:b/>
          <w:color w:val="0F172A"/>
          <w:sz w:val="22"/>
        </w:rPr>
        <w:t xml:space="preserve">2. </w:t>
      </w:r>
      <w:r>
        <w:rPr>
          <w:rFonts w:ascii="Calibri" w:hAnsi="Calibri"/>
          <w:sz w:val="22"/>
        </w:rPr>
        <w:t>Reserve Bank of India, 'Paisa Bolta Hai' Currency Verification and Security Feature Master Directions.</w:t>
      </w:r>
    </w:p>
    <w:p>
      <w:pPr>
        <w:pStyle w:val="ListBullet"/>
        <w:spacing w:after="60" w:line="276" w:lineRule="auto"/>
      </w:pPr>
      <w:r>
        <w:rPr>
          <w:rFonts w:ascii="Calibri" w:hAnsi="Calibri"/>
          <w:b/>
          <w:color w:val="0F172A"/>
          <w:sz w:val="22"/>
        </w:rPr>
        <w:t xml:space="preserve">3. </w:t>
      </w:r>
      <w:r>
        <w:rPr>
          <w:rFonts w:ascii="Calibri" w:hAnsi="Calibri"/>
          <w:sz w:val="22"/>
        </w:rPr>
        <w:t>Gary Bradski and Adrian Kaehler, 'Learning OpenCV: Computer Vision with the OpenCV Library', O'Reilly Media.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