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/>
          <w:b/>
          <w:color w:val="1F577D"/>
          <w:sz w:val="40"/>
        </w:rPr>
        <w:t>User Acceptance Testing (UAT) Execution Document</w:t>
      </w:r>
    </w:p>
    <w:p>
      <w:pPr>
        <w:spacing w:before="100" w:after="100"/>
      </w:pPr>
      <w:r>
        <w:rPr>
          <w:rFonts w:ascii="Arial" w:hAnsi="Arial"/>
          <w:b/>
          <w:color w:val="1F577D"/>
          <w:sz w:val="34"/>
        </w:rPr>
        <w:t>1. Project Overview &amp; Testing Environment</w:t>
      </w:r>
    </w:p>
    <w:p>
      <w:pPr>
        <w:spacing w:after="60"/>
      </w:pPr>
      <w:r>
        <w:rPr>
          <w:b/>
        </w:rPr>
        <w:t xml:space="preserve">• Project Name: </w:t>
      </w:r>
      <w:r>
        <w:t>ShopEZ E-Commerce Application</w:t>
      </w:r>
    </w:p>
    <w:p>
      <w:pPr>
        <w:spacing w:after="60"/>
      </w:pPr>
      <w:r>
        <w:rPr>
          <w:b/>
        </w:rPr>
        <w:t xml:space="preserve">• Project Description: </w:t>
      </w:r>
      <w:r>
        <w:t>A decoupled MERN stack application featuring stateful cart processing, endpoint authentication handlers, and multi-category product management for administrators.</w:t>
      </w:r>
    </w:p>
    <w:p>
      <w:pPr>
        <w:spacing w:after="60"/>
      </w:pPr>
      <w:r>
        <w:rPr>
          <w:b/>
        </w:rPr>
        <w:t xml:space="preserve">• Project Version: </w:t>
      </w:r>
      <w:r>
        <w:t>v1.0.0-Prod</w:t>
      </w:r>
    </w:p>
    <w:p>
      <w:pPr>
        <w:spacing w:after="60"/>
      </w:pPr>
      <w:r>
        <w:rPr>
          <w:b/>
        </w:rPr>
        <w:t xml:space="preserve">• Testing Period: </w:t>
      </w:r>
      <w:r>
        <w:t>16 February 2025 to 28 February 2025</w:t>
      </w:r>
    </w:p>
    <w:p>
      <w:pPr>
        <w:spacing w:before="80" w:after="60"/>
      </w:pPr>
      <w:r>
        <w:rPr>
          <w:b/>
          <w:color w:val="1F577D"/>
        </w:rPr>
        <w:t>Testing Scope:</w:t>
      </w:r>
    </w:p>
    <w:p>
      <w:pPr>
        <w:spacing w:after="40"/>
        <w:ind w:left="317" w:hanging="245"/>
      </w:pPr>
      <w:r>
        <w:rPr>
          <w:b/>
        </w:rPr>
        <w:t xml:space="preserve">• </w:t>
      </w:r>
      <w:r>
        <w:t>Core customer authentication and security profile registration workflows.</w:t>
      </w:r>
    </w:p>
    <w:p>
      <w:pPr>
        <w:spacing w:after="40"/>
        <w:ind w:left="317" w:hanging="245"/>
      </w:pPr>
      <w:r>
        <w:rPr>
          <w:b/>
        </w:rPr>
        <w:t xml:space="preserve">• </w:t>
      </w:r>
      <w:r>
        <w:t>Client-side cart state, quantity calculations, and payment mockup checkout.</w:t>
      </w:r>
    </w:p>
    <w:p>
      <w:pPr>
        <w:spacing w:after="40"/>
        <w:ind w:left="317" w:hanging="245"/>
      </w:pPr>
      <w:r>
        <w:rPr>
          <w:b/>
        </w:rPr>
        <w:t xml:space="preserve">• </w:t>
      </w:r>
      <w:r>
        <w:t>Administrator authorization, product/category CRUD operations, and inventory updates.</w:t>
      </w:r>
    </w:p>
    <w:p>
      <w:pPr>
        <w:spacing w:before="80" w:after="60"/>
      </w:pPr>
      <w:r>
        <w:rPr>
          <w:b/>
          <w:color w:val="1F577D"/>
        </w:rPr>
        <w:t>Testing Environment:</w:t>
      </w:r>
    </w:p>
    <w:p>
      <w:pPr>
        <w:spacing w:after="40"/>
      </w:pPr>
      <w:r>
        <w:rPr>
          <w:b/>
        </w:rPr>
        <w:t xml:space="preserve">• URL/Location: </w:t>
      </w:r>
      <w:r>
        <w:t>Local Development Sandbox &amp; Remote Staging Environment</w:t>
      </w:r>
    </w:p>
    <w:p>
      <w:pPr>
        <w:spacing w:after="40"/>
      </w:pPr>
      <w:r>
        <w:rPr>
          <w:b/>
        </w:rPr>
        <w:t xml:space="preserve">• Customer Credentials: </w:t>
      </w:r>
      <w:r>
        <w:t>user@shopez.local / password123</w:t>
      </w:r>
    </w:p>
    <w:p>
      <w:pPr>
        <w:spacing w:after="40"/>
      </w:pPr>
      <w:r>
        <w:rPr>
          <w:b/>
        </w:rPr>
        <w:t xml:space="preserve">• Administrator Credentials: </w:t>
      </w:r>
      <w:r>
        <w:t>admin@shopez.local / adminsecure</w:t>
      </w:r>
    </w:p>
    <w:p>
      <w:pPr>
        <w:spacing w:before="100" w:after="100"/>
      </w:pPr>
      <w:r>
        <w:rPr>
          <w:rFonts w:ascii="Arial" w:hAnsi="Arial"/>
          <w:b/>
          <w:color w:val="1F577D"/>
          <w:sz w:val="34"/>
        </w:rPr>
        <w:t>2. Executed User Acceptance 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800"/>
        <w:gridCol w:w="2880"/>
        <w:gridCol w:w="2592"/>
        <w:gridCol w:w="2592"/>
        <w:gridCol w:w="936"/>
      </w:tblGrid>
      <w:tr>
        <w:tc>
          <w:tcPr>
            <w:tcW w:type="dxa" w:w="1824"/>
            <w:vAlign w:val="center"/>
            <w:shd w:fill="30445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 Case ID</w:t>
            </w:r>
          </w:p>
        </w:tc>
        <w:tc>
          <w:tcPr>
            <w:tcW w:type="dxa" w:w="1824"/>
            <w:vAlign w:val="center"/>
            <w:shd w:fill="30445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 Scenario</w:t>
            </w:r>
          </w:p>
        </w:tc>
        <w:tc>
          <w:tcPr>
            <w:tcW w:type="dxa" w:w="1824"/>
            <w:vAlign w:val="center"/>
            <w:shd w:fill="30445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 Steps</w:t>
            </w:r>
          </w:p>
        </w:tc>
        <w:tc>
          <w:tcPr>
            <w:tcW w:type="dxa" w:w="1824"/>
            <w:vAlign w:val="center"/>
            <w:shd w:fill="30445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824"/>
            <w:vAlign w:val="center"/>
            <w:shd w:fill="30445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Actual Result</w:t>
            </w:r>
          </w:p>
        </w:tc>
        <w:tc>
          <w:tcPr>
            <w:tcW w:type="dxa" w:w="1824"/>
            <w:vAlign w:val="center"/>
            <w:shd w:fill="30445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3"/>
              </w:rPr>
              <w:t>TC-001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Customer Profile Registration Pipeline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1. Navigate to Registration UI.</w:t>
              <w:br/>
              <w:t>2. Submit credentials and fields.</w:t>
              <w:br/>
              <w:t>3. Verify database storage.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 secure profile entry is stored and password hashing is applied.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Profile saved successfully in the database; password hashing verified.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3"/>
              </w:rPr>
              <w:t>TC-002</w:t>
            </w:r>
          </w:p>
        </w:tc>
        <w:tc>
          <w:tcPr>
            <w:tcW w:type="dxa" w:w="1800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JWT Secure Login &amp; Payload Generation</w:t>
            </w:r>
          </w:p>
        </w:tc>
        <w:tc>
          <w:tcPr>
            <w:tcW w:type="dxa" w:w="2880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1. Access Login UI.</w:t>
              <w:br/>
              <w:t>2. Enter valid profile credentials.</w:t>
              <w:br/>
              <w:t>3. Capture response header.</w:t>
            </w:r>
          </w:p>
        </w:tc>
        <w:tc>
          <w:tcPr>
            <w:tcW w:type="dxa" w:w="2592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Authentication system returns a signed, valid JWT bearer token.</w:t>
            </w:r>
          </w:p>
        </w:tc>
        <w:tc>
          <w:tcPr>
            <w:tcW w:type="dxa" w:w="2592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Valid bearer token successfully captured in network logs.</w:t>
            </w:r>
          </w:p>
        </w:tc>
        <w:tc>
          <w:tcPr>
            <w:tcW w:type="dxa" w:w="936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3"/>
              </w:rPr>
              <w:t>TC-003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Dynamic Category Catalog Filter UI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1. Select category criteria.</w:t>
              <w:br/>
              <w:t>2. Confirm product list changes.</w:t>
              <w:br/>
              <w:t>3. Validate page response.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Selected categories such as Electronics and Groceries are displayed correctly.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Catalog parameters update dynamically without a full page reload.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3"/>
              </w:rPr>
              <w:t>TC-004</w:t>
            </w:r>
          </w:p>
        </w:tc>
        <w:tc>
          <w:tcPr>
            <w:tcW w:type="dxa" w:w="1800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Cart State Persistence</w:t>
            </w:r>
          </w:p>
        </w:tc>
        <w:tc>
          <w:tcPr>
            <w:tcW w:type="dxa" w:w="2880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1. Add an item to cart.</w:t>
              <w:br/>
              <w:t>2. Modify quantity.</w:t>
              <w:br/>
              <w:t>3. Refresh browser.</w:t>
            </w:r>
          </w:p>
        </w:tc>
        <w:tc>
          <w:tcPr>
            <w:tcW w:type="dxa" w:w="2592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Cart calculations update automatically and cart data remains available after refresh.</w:t>
            </w:r>
          </w:p>
        </w:tc>
        <w:tc>
          <w:tcPr>
            <w:tcW w:type="dxa" w:w="2592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Cart values and selected items persisted correctly during refresh testing.</w:t>
            </w:r>
          </w:p>
        </w:tc>
        <w:tc>
          <w:tcPr>
            <w:tcW w:type="dxa" w:w="936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3"/>
              </w:rPr>
              <w:t>TC-005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Admin Inventory CRUD Management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1. Log in as administrator.</w:t>
              <w:br/>
              <w:t>2. Create/update/delete product.</w:t>
              <w:br/>
              <w:t>3. Verify catalog.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Authorized product changes are reflected in the customer product listing.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Record changes appeared correctly in the active catalog display.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3"/>
              </w:rPr>
              <w:t>Pass</w:t>
            </w:r>
          </w:p>
        </w:tc>
      </w:tr>
    </w:tbl>
    <w:p>
      <w:pPr>
        <w:spacing w:before="100" w:after="100"/>
      </w:pPr>
      <w:r>
        <w:rPr>
          <w:rFonts w:ascii="Arial" w:hAnsi="Arial"/>
          <w:b/>
          <w:color w:val="1F577D"/>
          <w:sz w:val="34"/>
        </w:rPr>
        <w:t>3. System Defect Register &amp; Bug Tracking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880"/>
        <w:gridCol w:w="2736"/>
        <w:gridCol w:w="936"/>
        <w:gridCol w:w="936"/>
        <w:gridCol w:w="2880"/>
      </w:tblGrid>
      <w:tr>
        <w:tc>
          <w:tcPr>
            <w:tcW w:type="dxa" w:w="1824"/>
            <w:vAlign w:val="center"/>
            <w:shd w:fill="30445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Bug ID</w:t>
            </w:r>
          </w:p>
        </w:tc>
        <w:tc>
          <w:tcPr>
            <w:tcW w:type="dxa" w:w="1824"/>
            <w:vAlign w:val="center"/>
            <w:shd w:fill="30445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Bug Description</w:t>
            </w:r>
          </w:p>
        </w:tc>
        <w:tc>
          <w:tcPr>
            <w:tcW w:type="dxa" w:w="1824"/>
            <w:vAlign w:val="center"/>
            <w:shd w:fill="30445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Steps to Reproduce</w:t>
            </w:r>
          </w:p>
        </w:tc>
        <w:tc>
          <w:tcPr>
            <w:tcW w:type="dxa" w:w="1824"/>
            <w:vAlign w:val="center"/>
            <w:shd w:fill="30445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1824"/>
            <w:vAlign w:val="center"/>
            <w:shd w:fill="30445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824"/>
            <w:vAlign w:val="center"/>
            <w:shd w:fill="30445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Additional Feedback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3"/>
              </w:rPr>
              <w:t>BG-001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Cart values miscalculate total during rapid double-click item modifications.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1. Add items to cart.</w:t>
              <w:br/>
              <w:t>2. Rapidly double-click increment.</w:t>
              <w:br/>
              <w:t>3. Inspect total calculation.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Medium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3"/>
              </w:rPr>
              <w:t>Closed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State throttling applied to button event handlers to ensure consistent price calculations.</w:t>
            </w:r>
          </w:p>
        </w:tc>
      </w:tr>
      <w:tr>
        <w:tc>
          <w:tcPr>
            <w:tcW w:type="dxa" w:w="864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3"/>
              </w:rPr>
              <w:t>BG-002</w:t>
            </w:r>
          </w:p>
        </w:tc>
        <w:tc>
          <w:tcPr>
            <w:tcW w:type="dxa" w:w="2880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Token payload interceptor drops lowercase authorization header variations.</w:t>
            </w:r>
          </w:p>
        </w:tc>
        <w:tc>
          <w:tcPr>
            <w:tcW w:type="dxa" w:w="2736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1. Send backend REST request.</w:t>
              <w:br/>
              <w:t>2. Use lowercase authorization header.</w:t>
              <w:br/>
              <w:t>3. Evaluate response.</w:t>
            </w:r>
          </w:p>
        </w:tc>
        <w:tc>
          <w:tcPr>
            <w:tcW w:type="dxa" w:w="936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936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3"/>
              </w:rPr>
              <w:t>Closed</w:t>
            </w:r>
          </w:p>
        </w:tc>
        <w:tc>
          <w:tcPr>
            <w:tcW w:type="dxa" w:w="2880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Middleware parser updated to process authorization header variations case-insensitively.</w:t>
            </w:r>
          </w:p>
        </w:tc>
      </w:tr>
    </w:tbl>
    <w:p>
      <w:pPr>
        <w:spacing w:before="100" w:after="100"/>
      </w:pPr>
      <w:r>
        <w:rPr>
          <w:rFonts w:ascii="Arial" w:hAnsi="Arial"/>
          <w:b/>
          <w:color w:val="1F577D"/>
          <w:sz w:val="34"/>
        </w:rPr>
        <w:t>4. Formal Acceptance Sign-Off</w:t>
      </w:r>
    </w:p>
    <w:p>
      <w:pPr>
        <w:spacing w:after="60"/>
      </w:pPr>
      <w:r>
        <w:rPr>
          <w:b/>
        </w:rPr>
        <w:t xml:space="preserve">• Tester Name: </w:t>
      </w:r>
      <w:r>
        <w:t>Lead QA &amp; Architecture Verification Group</w:t>
      </w:r>
    </w:p>
    <w:p>
      <w:pPr>
        <w:spacing w:after="60"/>
      </w:pPr>
      <w:r>
        <w:rPr>
          <w:b/>
        </w:rPr>
        <w:t xml:space="preserve">• Date of Test Completion: </w:t>
      </w:r>
      <w:r>
        <w:t>28 February 2025</w:t>
      </w:r>
    </w:p>
    <w:p>
      <w:pPr>
        <w:spacing w:after="60"/>
      </w:pPr>
      <w:r>
        <w:rPr>
          <w:b/>
        </w:rPr>
        <w:t xml:space="preserve">• Signature: </w:t>
      </w:r>
      <w:r>
        <w:t>[Digital Verification Token Signed: COMPLIANT]</w:t>
      </w:r>
    </w:p>
    <w:p>
      <w:pPr>
        <w:spacing w:before="80"/>
      </w:pPr>
      <w:r>
        <w:rPr>
          <w:b/>
          <w:color w:val="1F577D"/>
        </w:rPr>
        <w:t>Notes &amp; Deployment Prerequisites:</w:t>
      </w:r>
    </w:p>
    <w:p>
      <w:pPr>
        <w:spacing w:after="60"/>
        <w:ind w:left="317" w:hanging="317"/>
      </w:pPr>
      <w:r>
        <w:rPr>
          <w:b/>
        </w:rPr>
        <w:t xml:space="preserve">1. </w:t>
      </w:r>
      <w:r>
        <w:t>All positive boundary verification metrics and negative route exception pipelines have been tested.</w:t>
      </w:r>
    </w:p>
    <w:p>
      <w:pPr>
        <w:spacing w:after="60"/>
        <w:ind w:left="317" w:hanging="317"/>
      </w:pPr>
      <w:r>
        <w:rPr>
          <w:b/>
        </w:rPr>
        <w:t xml:space="preserve">2. </w:t>
      </w:r>
      <w:r>
        <w:t>Critical-severity system defects identified during testing were patched, code-reviewed, and re-verified.</w:t>
      </w:r>
    </w:p>
    <w:p>
      <w:pPr>
        <w:spacing w:after="60"/>
        <w:ind w:left="317" w:hanging="317"/>
      </w:pPr>
      <w:r>
        <w:rPr>
          <w:b/>
        </w:rPr>
        <w:t xml:space="preserve">3. </w:t>
      </w:r>
      <w:r>
        <w:t>Formal acceptance sign-offs have been secured from the Product Owner and Project Manager to authorize standard delivery rollout operations.</w:t>
      </w:r>
    </w:p>
    <w:sectPr w:rsidR="00FC693F" w:rsidRPr="0006063C" w:rsidSect="00034616">
      <w:footerReference w:type="default" r:id="rId9"/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ShopEZ – E-Commerce Application | User Acceptance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