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" w:line="252" w:lineRule="auto"/>
        <w:jc w:val="center"/>
      </w:pPr>
      <w:r>
        <w:rPr>
          <w:rFonts w:ascii="Calibri" w:hAnsi="Calibri"/>
          <w:b/>
          <w:color w:val="000000"/>
          <w:sz w:val="35"/>
        </w:rPr>
        <w:t>SOHAN GADEWAR</w:t>
      </w:r>
    </w:p>
    <w:p>
      <w:pPr>
        <w:spacing w:before="0" w:after="64" w:line="252" w:lineRule="auto"/>
        <w:jc w:val="center"/>
      </w:pPr>
      <w:hyperlink r:id="rId9">
        <w:r>
          <w:rPr>
            <w:rFonts w:ascii="Calibri" w:hAnsi="Calibri"/>
            <w:sz w:val="16"/>
          </w:rPr>
          <w:drawing>
            <wp:inline xmlns:a="http://schemas.openxmlformats.org/drawingml/2006/main" xmlns:pic="http://schemas.openxmlformats.org/drawingml/2006/picture">
              <wp:extent cx="107950" cy="107950"/>
              <wp:docPr id="1" name="Picture 1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phone.png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" cy="107950"/>
                      </a:xfrm>
                      <a:prstGeom prst="rect"/>
                    </pic:spPr>
                  </pic:pic>
                </a:graphicData>
              </a:graphic>
            </wp:inline>
          </w:drawing>
        </w:r>
        <w:r>
          <w:rPr>
            <w:rFonts w:ascii="Calibri" w:hAnsi="Calibri"/>
            <w:sz w:val="16"/>
            <w:color w:val="000000"/>
          </w:rPr>
          <w:t xml:space="preserve"> +91 9022778561</w:t>
        </w:r>
      </w:hyperlink>
      <w:r>
        <w:rPr>
          <w:rFonts w:ascii="Calibri" w:hAnsi="Calibri"/>
          <w:color w:val="94A3B8"/>
          <w:sz w:val="16"/>
        </w:rPr>
        <w:t xml:space="preserve">   •   </w:t>
      </w:r>
      <w:hyperlink r:id="rId11">
        <w:r>
          <w:rPr>
            <w:rFonts w:ascii="Calibri" w:hAnsi="Calibri"/>
            <w:sz w:val="16"/>
          </w:rPr>
          <w:drawing>
            <wp:inline xmlns:a="http://schemas.openxmlformats.org/drawingml/2006/main" xmlns:pic="http://schemas.openxmlformats.org/drawingml/2006/picture">
              <wp:extent cx="107950" cy="107950"/>
              <wp:docPr id="2" name="Picture 2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gmail.png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" cy="107950"/>
                      </a:xfrm>
                      <a:prstGeom prst="rect"/>
                    </pic:spPr>
                  </pic:pic>
                </a:graphicData>
              </a:graphic>
            </wp:inline>
          </w:drawing>
        </w:r>
        <w:r>
          <w:rPr>
            <w:rFonts w:ascii="Calibri" w:hAnsi="Calibri"/>
            <w:sz w:val="16"/>
            <w:color w:val="1D4ED8"/>
          </w:rPr>
          <w:t xml:space="preserve"> sohangadewar9022@gmail.com</w:t>
        </w:r>
      </w:hyperlink>
      <w:r>
        <w:rPr>
          <w:rFonts w:ascii="Calibri" w:hAnsi="Calibri"/>
          <w:color w:val="94A3B8"/>
          <w:sz w:val="16"/>
        </w:rPr>
        <w:t xml:space="preserve">   •   </w:t>
      </w:r>
      <w:hyperlink r:id="rId13">
        <w:r>
          <w:rPr>
            <w:rFonts w:ascii="Calibri" w:hAnsi="Calibri"/>
            <w:sz w:val="16"/>
          </w:rPr>
          <w:drawing>
            <wp:inline xmlns:a="http://schemas.openxmlformats.org/drawingml/2006/main" xmlns:pic="http://schemas.openxmlformats.org/drawingml/2006/picture">
              <wp:extent cx="107950" cy="107950"/>
              <wp:docPr id="3" name="Picture 3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globe.png"/>
                      <pic:cNvPicPr/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" cy="107950"/>
                      </a:xfrm>
                      <a:prstGeom prst="rect"/>
                    </pic:spPr>
                  </pic:pic>
                </a:graphicData>
              </a:graphic>
            </wp:inline>
          </w:drawing>
        </w:r>
        <w:r>
          <w:rPr>
            <w:rFonts w:ascii="Calibri" w:hAnsi="Calibri"/>
            <w:sz w:val="16"/>
            <w:color w:val="1D4ED8"/>
          </w:rPr>
          <w:t xml:space="preserve"> Portfolio</w:t>
        </w:r>
      </w:hyperlink>
      <w:r>
        <w:rPr>
          <w:rFonts w:ascii="Calibri" w:hAnsi="Calibri"/>
          <w:color w:val="94A3B8"/>
          <w:sz w:val="16"/>
        </w:rPr>
        <w:t xml:space="preserve">   •   </w:t>
      </w:r>
      <w:hyperlink r:id="rId15">
        <w:r>
          <w:rPr>
            <w:rFonts w:ascii="Calibri" w:hAnsi="Calibri"/>
            <w:sz w:val="16"/>
          </w:rPr>
          <w:drawing>
            <wp:inline xmlns:a="http://schemas.openxmlformats.org/drawingml/2006/main" xmlns:pic="http://schemas.openxmlformats.org/drawingml/2006/picture">
              <wp:extent cx="107950" cy="107950"/>
              <wp:docPr id="4" name="Picture 4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linkedin.png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" cy="107950"/>
                      </a:xfrm>
                      <a:prstGeom prst="rect"/>
                    </pic:spPr>
                  </pic:pic>
                </a:graphicData>
              </a:graphic>
            </wp:inline>
          </w:drawing>
        </w:r>
        <w:r>
          <w:rPr>
            <w:rFonts w:ascii="Calibri" w:hAnsi="Calibri"/>
            <w:sz w:val="16"/>
            <w:color w:val="1D4ED8"/>
          </w:rPr>
          <w:t xml:space="preserve"> LinkedIn</w:t>
        </w:r>
      </w:hyperlink>
      <w:r>
        <w:rPr>
          <w:rFonts w:ascii="Calibri" w:hAnsi="Calibri"/>
          <w:color w:val="94A3B8"/>
          <w:sz w:val="16"/>
        </w:rPr>
        <w:t xml:space="preserve">   •   </w:t>
      </w:r>
      <w:hyperlink r:id="rId17">
        <w:r>
          <w:rPr>
            <w:rFonts w:ascii="Calibri" w:hAnsi="Calibri"/>
            <w:sz w:val="16"/>
          </w:rPr>
          <w:drawing>
            <wp:inline xmlns:a="http://schemas.openxmlformats.org/drawingml/2006/main" xmlns:pic="http://schemas.openxmlformats.org/drawingml/2006/picture">
              <wp:extent cx="107950" cy="107950"/>
              <wp:docPr id="5" name="Picture 5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github.png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" cy="107950"/>
                      </a:xfrm>
                      <a:prstGeom prst="rect"/>
                    </pic:spPr>
                  </pic:pic>
                </a:graphicData>
              </a:graphic>
            </wp:inline>
          </w:drawing>
        </w:r>
        <w:r>
          <w:rPr>
            <w:rFonts w:ascii="Calibri" w:hAnsi="Calibri"/>
            <w:sz w:val="16"/>
            <w:color w:val="1D4ED8"/>
          </w:rPr>
          <w:t xml:space="preserve"> GitHub</w:t>
        </w:r>
      </w:hyperlink>
    </w:p>
    <w:p>
      <w:pPr>
        <w:spacing w:before="104" w:after="40" w:line="252" w:lineRule="auto"/>
        <w:pBdr>
          <w:bottom w:val="single" w:sz="6" w:space="2" w:color="94A3B8"/>
        </w:pBdr>
      </w:pPr>
      <w:r>
        <w:rPr>
          <w:rFonts w:ascii="Calibri" w:hAnsi="Calibri"/>
          <w:b/>
          <w:color w:val="000000"/>
          <w:sz w:val="19"/>
        </w:rPr>
        <w:t>PROFILE SUMMARY</w:t>
      </w:r>
    </w:p>
    <w:p>
      <w:pPr>
        <w:spacing w:before="10" w:after="44" w:line="252" w:lineRule="auto"/>
      </w:pPr>
      <w:r>
        <w:rPr>
          <w:rFonts w:ascii="Calibri" w:hAnsi="Calibri"/>
          <w:color w:val="000000"/>
          <w:sz w:val="17"/>
        </w:rPr>
        <w:t>Technical product builder combining strong software engineering foundations with user-centric 0-to-1 execution. Proven track record of conducting user research, framing product theses, and scoping comprehensive PRDs for AI-driven systems. Skilled at balancing technical feasibility with intuitive design to build deterministic architectures that eliminate workflow friction and earn user trust.</w:t>
      </w:r>
    </w:p>
    <w:p>
      <w:pPr>
        <w:spacing w:before="104" w:after="40" w:line="252" w:lineRule="auto"/>
        <w:pBdr>
          <w:bottom w:val="single" w:sz="6" w:space="2" w:color="94A3B8"/>
        </w:pBdr>
      </w:pPr>
      <w:r>
        <w:rPr>
          <w:rFonts w:ascii="Calibri" w:hAnsi="Calibri"/>
          <w:b/>
          <w:color w:val="000000"/>
          <w:sz w:val="19"/>
        </w:rPr>
        <w:t>EDUCATION</w:t>
      </w:r>
    </w:p>
    <w:p>
      <w:pPr>
        <w:tabs>
          <w:tab w:pos="10973" w:val="right"/>
        </w:tabs>
        <w:spacing w:before="10" w:after="8" w:line="252" w:lineRule="auto"/>
      </w:pPr>
      <w:r>
        <w:rPr>
          <w:rFonts w:ascii="Calibri" w:hAnsi="Calibri"/>
          <w:b/>
          <w:color w:val="000000"/>
          <w:sz w:val="18"/>
        </w:rPr>
        <w:t>Vishwakarma Institute of Information Technology (VIIT), Pune</w:t>
      </w:r>
      <w:r>
        <w:rPr>
          <w:rFonts w:ascii="Calibri" w:hAnsi="Calibri"/>
          <w:b/>
          <w:color w:val="000000"/>
          <w:sz w:val="17"/>
        </w:rPr>
        <w:tab/>
        <w:t>2023 – 2027</w:t>
      </w:r>
    </w:p>
    <w:p>
      <w:pPr>
        <w:spacing w:before="0" w:after="8" w:line="252" w:lineRule="auto"/>
      </w:pPr>
      <w:r>
        <w:rPr>
          <w:rFonts w:ascii="Calibri" w:hAnsi="Calibri"/>
          <w:color w:val="000000"/>
          <w:sz w:val="17"/>
        </w:rPr>
        <w:t xml:space="preserve">Bachelor of Technology in Information Technology  |  </w:t>
      </w:r>
      <w:r>
        <w:rPr>
          <w:rFonts w:ascii="Calibri" w:hAnsi="Calibri"/>
          <w:b/>
          <w:color w:val="000000"/>
          <w:sz w:val="17"/>
        </w:rPr>
        <w:t>CGPA: 8.97 / 10.0 (Pursuing)</w:t>
      </w:r>
    </w:p>
    <w:p>
      <w:pPr>
        <w:spacing w:before="0" w:after="40" w:line="252" w:lineRule="auto"/>
      </w:pPr>
      <w:r>
        <w:rPr>
          <w:rFonts w:ascii="Calibri" w:hAnsi="Calibri"/>
          <w:color w:val="000000"/>
          <w:sz w:val="17"/>
        </w:rPr>
        <w:t>Relevant Coursework: Data Structures &amp; Algorithms (DSA), Database Management Systems (DBMS), Operating Systems, Computer Networks, System Design, Object-Oriented Programming (OOP)</w:t>
      </w:r>
    </w:p>
    <w:p>
      <w:pPr>
        <w:spacing w:before="104" w:after="40" w:line="252" w:lineRule="auto"/>
        <w:pBdr>
          <w:bottom w:val="single" w:sz="6" w:space="2" w:color="94A3B8"/>
        </w:pBdr>
      </w:pPr>
      <w:r>
        <w:rPr>
          <w:rFonts w:ascii="Calibri" w:hAnsi="Calibri"/>
          <w:b/>
          <w:color w:val="000000"/>
          <w:sz w:val="19"/>
        </w:rPr>
        <w:t>WORK EXPERIENCE &amp; PROJECTS</w:t>
      </w:r>
    </w:p>
    <w:p>
      <w:pPr>
        <w:spacing w:before="28" w:after="6" w:line="252" w:lineRule="auto"/>
      </w:pPr>
      <w:r>
        <w:rPr>
          <w:rFonts w:ascii="Calibri" w:hAnsi="Calibri"/>
          <w:b/>
          <w:color w:val="000000"/>
          <w:sz w:val="18"/>
        </w:rPr>
        <w:t>Project Sentinel — AI Decision Memory &amp; State-Drift Agent</w:t>
      </w:r>
      <w:r>
        <w:rPr>
          <w:rFonts w:ascii="Calibri" w:hAnsi="Calibri"/>
          <w:color w:val="000000"/>
          <w:sz w:val="17"/>
        </w:rPr>
        <w:t xml:space="preserve">  |  Enterprise AI Product</w:t>
      </w:r>
    </w:p>
    <w:p>
      <w:pPr>
        <w:spacing w:before="0" w:after="12" w:line="252" w:lineRule="auto"/>
      </w:pPr>
      <w:r>
        <w:rPr>
          <w:rFonts w:ascii="Calibri" w:hAnsi="Calibri"/>
          <w:b/>
          <w:color w:val="000000"/>
          <w:sz w:val="17"/>
        </w:rPr>
        <w:t xml:space="preserve">Interactive Prototype: </w:t>
      </w:r>
      <w:hyperlink r:id="rId19">
        <w:r>
          <w:rPr>
            <w:rFonts w:ascii="Calibri" w:hAnsi="Calibri"/>
            <w:sz w:val="17"/>
            <w:color w:val="1D4ED8"/>
            <w:u w:val="single"/>
          </w:rPr>
          <w:t xml:space="preserve">echo-sentinel-08.lovable.app</w:t>
        </w:r>
      </w:hyperlink>
      <w:r>
        <w:rPr>
          <w:rFonts w:ascii="Calibri" w:hAnsi="Calibri"/>
          <w:b/>
          <w:color w:val="000000"/>
          <w:sz w:val="17"/>
        </w:rPr>
        <w:t xml:space="preserve">   |   PRD Specification: </w:t>
      </w:r>
      <w:hyperlink r:id="rId20">
        <w:r>
          <w:rPr>
            <w:rFonts w:ascii="Calibri" w:hAnsi="Calibri"/>
            <w:sz w:val="17"/>
            <w:color w:val="1D4ED8"/>
            <w:u w:val="single"/>
          </w:rPr>
          <w:t xml:space="preserve">Notion PRD</w:t>
        </w:r>
      </w:hyperlink>
    </w:p>
    <w:p>
      <w:pPr>
        <w:spacing w:before="0" w:after="12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color w:val="000000"/>
          <w:sz w:val="17"/>
        </w:rPr>
        <w:t>Spearheaded product discovery across engineering standups, Slack, and Jira, identifying critical context loss and finding that unprompted bot summaries cause heavy distraction by interrupting developer focus.</w:t>
      </w:r>
    </w:p>
    <w:p>
      <w:pPr>
        <w:spacing w:before="0" w:after="12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color w:val="000000"/>
          <w:sz w:val="17"/>
        </w:rPr>
        <w:t xml:space="preserve">Formulated the </w:t>
      </w:r>
      <w:r>
        <w:rPr>
          <w:rFonts w:ascii="Calibri" w:hAnsi="Calibri"/>
          <w:b/>
          <w:color w:val="000000"/>
          <w:sz w:val="17"/>
        </w:rPr>
        <w:t>"Silent-by-Default"</w:t>
      </w:r>
      <w:r>
        <w:rPr>
          <w:rFonts w:ascii="Calibri" w:hAnsi="Calibri"/>
          <w:color w:val="000000"/>
          <w:sz w:val="17"/>
        </w:rPr>
        <w:t xml:space="preserve"> product thesis, passively ingesting audio transcripts and commit streams without channel spam while deliberately scoping out employee surveillance features in V1.</w:t>
      </w:r>
    </w:p>
    <w:p>
      <w:pPr>
        <w:spacing w:before="0" w:after="12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color w:val="000000"/>
          <w:sz w:val="17"/>
        </w:rPr>
        <w:t xml:space="preserve">Architected deterministic audit engine powered by </w:t>
      </w:r>
      <w:r>
        <w:rPr>
          <w:rFonts w:ascii="Calibri" w:hAnsi="Calibri"/>
          <w:b/>
          <w:color w:val="000000"/>
          <w:sz w:val="17"/>
        </w:rPr>
        <w:t>append-only PostgreSQL schemas</w:t>
      </w:r>
      <w:r>
        <w:rPr>
          <w:rFonts w:ascii="Calibri" w:hAnsi="Calibri"/>
          <w:color w:val="000000"/>
          <w:sz w:val="17"/>
        </w:rPr>
        <w:t>, surfacing discrepancies between spoken commitments and recorded codebase state strictly upon explicit user queries.</w:t>
      </w:r>
    </w:p>
    <w:p>
      <w:pPr>
        <w:spacing w:before="0" w:after="40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color w:val="000000"/>
          <w:sz w:val="17"/>
        </w:rPr>
        <w:t xml:space="preserve">Shipped interactive clickable MVP on Lovable with live drift queries; authored comprehensive </w:t>
      </w:r>
      <w:r>
        <w:rPr>
          <w:rFonts w:ascii="Calibri" w:hAnsi="Calibri"/>
          <w:b/>
          <w:color w:val="000000"/>
          <w:sz w:val="17"/>
        </w:rPr>
        <w:t>Notion PRD</w:t>
      </w:r>
      <w:r>
        <w:rPr>
          <w:rFonts w:ascii="Calibri" w:hAnsi="Calibri"/>
          <w:color w:val="000000"/>
          <w:sz w:val="17"/>
        </w:rPr>
        <w:t xml:space="preserve"> detailing state transition matrices, query grammar, and phased enterprise rollout.</w:t>
      </w:r>
    </w:p>
    <w:p>
      <w:pPr>
        <w:spacing w:before="28" w:after="6" w:line="252" w:lineRule="auto"/>
      </w:pPr>
      <w:r>
        <w:rPr>
          <w:rFonts w:ascii="Calibri" w:hAnsi="Calibri"/>
          <w:b/>
          <w:color w:val="000000"/>
          <w:sz w:val="18"/>
        </w:rPr>
        <w:t>FinMate AI — Conversational Expense Memory &amp; Deterministic Accounting</w:t>
      </w:r>
      <w:r>
        <w:rPr>
          <w:rFonts w:ascii="Calibri" w:hAnsi="Calibri"/>
          <w:color w:val="000000"/>
          <w:sz w:val="17"/>
        </w:rPr>
        <w:t xml:space="preserve">  |  FinTech Systems</w:t>
      </w:r>
    </w:p>
    <w:p>
      <w:pPr>
        <w:spacing w:before="0" w:after="12" w:line="252" w:lineRule="auto"/>
      </w:pPr>
      <w:r>
        <w:rPr>
          <w:rFonts w:ascii="Calibri" w:hAnsi="Calibri"/>
          <w:b/>
          <w:color w:val="000000"/>
          <w:sz w:val="17"/>
        </w:rPr>
        <w:t xml:space="preserve">Live Production MVP: </w:t>
      </w:r>
      <w:hyperlink r:id="rId21">
        <w:r>
          <w:rPr>
            <w:rFonts w:ascii="Calibri" w:hAnsi="Calibri"/>
            <w:sz w:val="17"/>
            <w:color w:val="1D4ED8"/>
            <w:u w:val="single"/>
          </w:rPr>
          <w:t xml:space="preserve">tell-finmate-ai.lovable.app</w:t>
        </w:r>
      </w:hyperlink>
      <w:r>
        <w:rPr>
          <w:rFonts w:ascii="Calibri" w:hAnsi="Calibri"/>
          <w:b/>
          <w:color w:val="000000"/>
          <w:sz w:val="17"/>
        </w:rPr>
        <w:t xml:space="preserve">   |   Architecture &amp; PRD: </w:t>
      </w:r>
      <w:hyperlink r:id="rId22">
        <w:r>
          <w:rPr>
            <w:rFonts w:ascii="Calibri" w:hAnsi="Calibri"/>
            <w:sz w:val="17"/>
            <w:color w:val="1D4ED8"/>
            <w:u w:val="single"/>
          </w:rPr>
          <w:t xml:space="preserve">Notion PRD</w:t>
        </w:r>
      </w:hyperlink>
    </w:p>
    <w:p>
      <w:pPr>
        <w:spacing w:before="0" w:after="12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color w:val="000000"/>
          <w:sz w:val="17"/>
        </w:rPr>
        <w:t>Uncovered key user friction in expense tracking where tedious manual multi-field forms trigger severe drop-off, while identifying that pure LLM bots hallucinate arithmetic totals, destroying financial trust.</w:t>
      </w:r>
    </w:p>
    <w:p>
      <w:pPr>
        <w:spacing w:before="0" w:after="12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color w:val="000000"/>
          <w:sz w:val="17"/>
        </w:rPr>
        <w:t xml:space="preserve">Engineered </w:t>
      </w:r>
      <w:r>
        <w:rPr>
          <w:rFonts w:ascii="Calibri" w:hAnsi="Calibri"/>
          <w:b/>
          <w:color w:val="000000"/>
          <w:sz w:val="17"/>
        </w:rPr>
        <w:t>two-stage decoupled architecture</w:t>
      </w:r>
      <w:r>
        <w:rPr>
          <w:rFonts w:ascii="Calibri" w:hAnsi="Calibri"/>
          <w:color w:val="000000"/>
          <w:sz w:val="17"/>
        </w:rPr>
        <w:t xml:space="preserve"> directing multimodal LLMs (voice notes, OCR receipts, chat) to extract structured JSON intents and entities, while routing all arithmetic calculations to concurrency-safe PostgreSQL stored procedures (RPCs).</w:t>
      </w:r>
    </w:p>
    <w:p>
      <w:pPr>
        <w:spacing w:before="0" w:after="12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color w:val="000000"/>
          <w:sz w:val="17"/>
        </w:rPr>
        <w:t xml:space="preserve">Enforced complete financial auditability through </w:t>
      </w:r>
      <w:r>
        <w:rPr>
          <w:rFonts w:ascii="Calibri" w:hAnsi="Calibri"/>
          <w:b/>
          <w:color w:val="000000"/>
          <w:sz w:val="17"/>
        </w:rPr>
        <w:t>evidence-linked ledger rows</w:t>
      </w:r>
      <w:r>
        <w:rPr>
          <w:rFonts w:ascii="Calibri" w:hAnsi="Calibri"/>
          <w:color w:val="000000"/>
          <w:sz w:val="17"/>
        </w:rPr>
        <w:t>, guaranteeing clickable citations for every balance response and preventing arithmetic discrepancies.</w:t>
      </w:r>
    </w:p>
    <w:p>
      <w:pPr>
        <w:spacing w:before="0" w:after="40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color w:val="000000"/>
          <w:sz w:val="17"/>
        </w:rPr>
        <w:t xml:space="preserve">Deployed production-ready MVP on Lovable with </w:t>
      </w:r>
      <w:r>
        <w:rPr>
          <w:rFonts w:ascii="Calibri" w:hAnsi="Calibri"/>
          <w:b/>
          <w:color w:val="000000"/>
          <w:sz w:val="17"/>
        </w:rPr>
        <w:t>streaming voice transcription</w:t>
      </w:r>
      <w:r>
        <w:rPr>
          <w:rFonts w:ascii="Calibri" w:hAnsi="Calibri"/>
          <w:color w:val="000000"/>
          <w:sz w:val="17"/>
        </w:rPr>
        <w:t xml:space="preserve"> and informal loan tracking; authored complete PRD covering database schemas, Row-Level Security (RLS) policies, and error handling.</w:t>
      </w:r>
    </w:p>
    <w:p>
      <w:pPr>
        <w:spacing w:before="104" w:after="40" w:line="252" w:lineRule="auto"/>
        <w:pBdr>
          <w:bottom w:val="single" w:sz="6" w:space="2" w:color="94A3B8"/>
        </w:pBdr>
      </w:pPr>
      <w:r>
        <w:rPr>
          <w:rFonts w:ascii="Calibri" w:hAnsi="Calibri"/>
          <w:b/>
          <w:color w:val="000000"/>
          <w:sz w:val="19"/>
        </w:rPr>
        <w:t>PATENTS &amp; RESEARCH</w:t>
      </w:r>
    </w:p>
    <w:p>
      <w:pPr>
        <w:spacing w:before="16" w:after="12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b/>
          <w:color w:val="000000"/>
          <w:sz w:val="17"/>
        </w:rPr>
        <w:t xml:space="preserve">Filed Patent (South African Patent Office): </w:t>
      </w:r>
      <w:r>
        <w:rPr>
          <w:rFonts w:ascii="Calibri" w:hAnsi="Calibri"/>
          <w:color w:val="000000"/>
          <w:sz w:val="17"/>
        </w:rPr>
        <w:t>AI-Powered Lost &amp; Found Matching System — Conceptualized 5-factor blind multimodal scoring architecture (image embeddings, NLP text, geolocation, timestamp) with automated urgency detection | 2025</w:t>
      </w:r>
    </w:p>
    <w:p>
      <w:pPr>
        <w:spacing w:before="0" w:after="40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b/>
          <w:color w:val="000000"/>
          <w:sz w:val="17"/>
        </w:rPr>
        <w:t xml:space="preserve">HCI Research Study (Submitted to JASE for Peer Review): </w:t>
      </w:r>
      <w:r>
        <w:rPr>
          <w:rFonts w:ascii="Calibri" w:hAnsi="Calibri"/>
          <w:color w:val="000000"/>
          <w:sz w:val="17"/>
        </w:rPr>
        <w:t>AI-Driven Multilingual Adaptive UX Framework &amp; Zero-Risk Financial Sandbox — Designed dual-mode environment pairing live transactions with a simulated practice sandbox (dummy balances), in-situ Hold-to-Translate, and Circle-to-Understand gesture affordances | 2025</w:t>
      </w:r>
    </w:p>
    <w:p>
      <w:pPr>
        <w:spacing w:before="104" w:after="40" w:line="252" w:lineRule="auto"/>
        <w:pBdr>
          <w:bottom w:val="single" w:sz="6" w:space="2" w:color="94A3B8"/>
        </w:pBdr>
      </w:pPr>
      <w:r>
        <w:rPr>
          <w:rFonts w:ascii="Calibri" w:hAnsi="Calibri"/>
          <w:b/>
          <w:color w:val="000000"/>
          <w:sz w:val="19"/>
        </w:rPr>
        <w:t>HONORS &amp; AWARDS</w:t>
      </w:r>
    </w:p>
    <w:p>
      <w:pPr>
        <w:spacing w:before="16" w:after="12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b/>
          <w:color w:val="000000"/>
          <w:sz w:val="17"/>
        </w:rPr>
        <w:t xml:space="preserve">National Finalist at India Innovates Hackathon: </w:t>
      </w:r>
      <w:r>
        <w:rPr>
          <w:rFonts w:ascii="Calibri" w:hAnsi="Calibri"/>
          <w:color w:val="000000"/>
          <w:sz w:val="17"/>
        </w:rPr>
        <w:t xml:space="preserve">Ranked among </w:t>
      </w:r>
      <w:r>
        <w:rPr>
          <w:rFonts w:ascii="Calibri" w:hAnsi="Calibri"/>
          <w:b/>
          <w:color w:val="000000"/>
          <w:sz w:val="17"/>
        </w:rPr>
        <w:t>top 20% finalist teams</w:t>
      </w:r>
      <w:r>
        <w:rPr>
          <w:rFonts w:ascii="Calibri" w:hAnsi="Calibri"/>
          <w:color w:val="000000"/>
          <w:sz w:val="17"/>
        </w:rPr>
        <w:t xml:space="preserve"> nationwide out of </w:t>
      </w:r>
      <w:r>
        <w:rPr>
          <w:rFonts w:ascii="Calibri" w:hAnsi="Calibri"/>
          <w:b/>
          <w:color w:val="000000"/>
          <w:sz w:val="17"/>
        </w:rPr>
        <w:t>6,000+ participating teams</w:t>
      </w:r>
      <w:r>
        <w:rPr>
          <w:rFonts w:ascii="Calibri" w:hAnsi="Calibri"/>
          <w:color w:val="000000"/>
          <w:sz w:val="17"/>
        </w:rPr>
        <w:t xml:space="preserve"> across India | 2026</w:t>
      </w:r>
    </w:p>
    <w:p>
      <w:pPr>
        <w:spacing w:before="0" w:after="40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b/>
          <w:color w:val="000000"/>
          <w:sz w:val="17"/>
        </w:rPr>
        <w:t xml:space="preserve">Qualified for Round 2 in GHCI 25 National GenAI Hackathon: </w:t>
      </w:r>
      <w:r>
        <w:rPr>
          <w:rFonts w:ascii="Calibri" w:hAnsi="Calibri"/>
          <w:color w:val="000000"/>
          <w:sz w:val="17"/>
        </w:rPr>
        <w:t xml:space="preserve">AnitaB.org India &amp; Backbase | 'Unbound with GenAI: Breaking Barriers, Creating Impact' | </w:t>
      </w:r>
      <w:hyperlink r:id="rId23">
        <w:r>
          <w:rPr>
            <w:rFonts w:ascii="Calibri" w:hAnsi="Calibri"/>
            <w:sz w:val="17"/>
            <w:color w:val="1D4ED8"/>
            <w:u w:val="single"/>
            <w:b/>
          </w:rPr>
          <w:t xml:space="preserve">Certificate</w:t>
        </w:r>
      </w:hyperlink>
      <w:r>
        <w:rPr>
          <w:rFonts w:ascii="Calibri" w:hAnsi="Calibri"/>
          <w:color w:val="000000"/>
          <w:sz w:val="17"/>
        </w:rPr>
        <w:t xml:space="preserve"> | 2025</w:t>
      </w:r>
    </w:p>
    <w:p>
      <w:pPr>
        <w:spacing w:before="104" w:after="40" w:line="252" w:lineRule="auto"/>
        <w:pBdr>
          <w:bottom w:val="single" w:sz="6" w:space="2" w:color="94A3B8"/>
        </w:pBdr>
      </w:pPr>
      <w:r>
        <w:rPr>
          <w:rFonts w:ascii="Calibri" w:hAnsi="Calibri"/>
          <w:b/>
          <w:color w:val="000000"/>
          <w:sz w:val="19"/>
        </w:rPr>
        <w:t>SKILLS</w:t>
      </w:r>
    </w:p>
    <w:p>
      <w:pPr>
        <w:spacing w:before="16" w:after="12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b/>
          <w:color w:val="000000"/>
          <w:sz w:val="17"/>
        </w:rPr>
        <w:t xml:space="preserve">Product Management: </w:t>
      </w:r>
      <w:r>
        <w:rPr>
          <w:rFonts w:ascii="Calibri" w:hAnsi="Calibri"/>
          <w:color w:val="000000"/>
          <w:sz w:val="17"/>
        </w:rPr>
        <w:t>Product Discovery, Product Requirements Document (PRD), Jobs-to-be-Done (JTBD), User Journey Mapping, RICE Prioritization, North Star &amp; Guardrail Metrics, Customer Interviews, Experimentation, Go-to-Market (GTM) Strategy, Trade-off Analysis, Figma</w:t>
      </w:r>
    </w:p>
    <w:p>
      <w:pPr>
        <w:spacing w:before="0" w:after="12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b/>
          <w:color w:val="000000"/>
          <w:sz w:val="17"/>
        </w:rPr>
        <w:t xml:space="preserve">AI &amp; Systems: </w:t>
      </w:r>
      <w:r>
        <w:rPr>
          <w:rFonts w:ascii="Calibri" w:hAnsi="Calibri"/>
          <w:color w:val="000000"/>
          <w:sz w:val="17"/>
        </w:rPr>
        <w:t>LLM Prompt Engineering, Retrieval-Augmented Generation (RAG), AI Governance, Vector Embeddings, Multimodal AI (Voice, Vision OCR), PostgreSQL Stored Procedures (RPC), REST APIs, High-Level Design (HLD)</w:t>
      </w:r>
    </w:p>
    <w:p>
      <w:pPr>
        <w:spacing w:before="0" w:after="12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b/>
          <w:color w:val="000000"/>
          <w:sz w:val="17"/>
        </w:rPr>
        <w:t xml:space="preserve">Technical &amp; Problem-Solving: </w:t>
      </w:r>
      <w:r>
        <w:rPr>
          <w:rFonts w:ascii="Calibri" w:hAnsi="Calibri"/>
          <w:color w:val="000000"/>
          <w:sz w:val="17"/>
        </w:rPr>
        <w:t>Java, Spring Framework, Python, SQL/PostgreSQL, REST APIs, Git, LangChain, LangGraph, Rapid Prototyping (Lovable.dev)</w:t>
      </w:r>
    </w:p>
    <w:p>
      <w:pPr>
        <w:spacing w:before="0" w:after="40" w:line="252" w:lineRule="auto"/>
        <w:ind w:left="230" w:hanging="230"/>
      </w:pPr>
      <w:r>
        <w:rPr>
          <w:rFonts w:ascii="Calibri" w:hAnsi="Calibri"/>
          <w:b/>
          <w:color w:val="000000"/>
          <w:sz w:val="17"/>
        </w:rPr>
        <w:t xml:space="preserve">• </w:t>
      </w:r>
      <w:r>
        <w:rPr>
          <w:rFonts w:ascii="Calibri" w:hAnsi="Calibri"/>
          <w:b/>
          <w:color w:val="000000"/>
          <w:sz w:val="17"/>
        </w:rPr>
        <w:t xml:space="preserve">DSA &amp; Competitive Programming: </w:t>
      </w:r>
      <w:r>
        <w:rPr>
          <w:rFonts w:ascii="Calibri" w:hAnsi="Calibri"/>
          <w:color w:val="000000"/>
          <w:sz w:val="17"/>
        </w:rPr>
        <w:t>610+ Solved Problems — 400+ LeetCode, 210+ GeeksforGeeks (Data Structures, Algorithms, Problem Solving)</w:t>
      </w:r>
    </w:p>
    <w:p>
      <w:pPr>
        <w:spacing w:before="104" w:after="40" w:line="252" w:lineRule="auto"/>
        <w:pBdr>
          <w:bottom w:val="single" w:sz="6" w:space="2" w:color="94A3B8"/>
        </w:pBdr>
      </w:pPr>
      <w:r>
        <w:rPr>
          <w:rFonts w:ascii="Calibri" w:hAnsi="Calibri"/>
          <w:b/>
          <w:color w:val="000000"/>
          <w:sz w:val="19"/>
        </w:rPr>
        <w:t>CERTIFICATIONS</w:t>
      </w:r>
    </w:p>
    <w:p>
      <w:pPr>
        <w:spacing w:before="16" w:after="0" w:line="252" w:lineRule="auto"/>
      </w:pPr>
      <w:hyperlink r:id="rId24">
        <w:r>
          <w:rPr>
            <w:rFonts w:ascii="Calibri" w:hAnsi="Calibri"/>
            <w:sz w:val="17"/>
            <w:color w:val="1D4ED8"/>
            <w:u w:val="single"/>
          </w:rPr>
          <w:t xml:space="preserve">Product Management Masterclass (GeeksforGeeks)</w:t>
        </w:r>
      </w:hyperlink>
      <w:r>
        <w:rPr>
          <w:rFonts w:ascii="Calibri" w:hAnsi="Calibri"/>
          <w:color w:val="000000"/>
          <w:sz w:val="17"/>
        </w:rPr>
        <w:t xml:space="preserve">   |   </w:t>
      </w:r>
      <w:hyperlink r:id="rId25">
        <w:r>
          <w:rPr>
            <w:rFonts w:ascii="Calibri" w:hAnsi="Calibri"/>
            <w:sz w:val="17"/>
            <w:color w:val="1D4ED8"/>
            <w:u w:val="single"/>
          </w:rPr>
          <w:t xml:space="preserve">n8n Workflow Automation (CampusX)</w:t>
        </w:r>
      </w:hyperlink>
      <w:r>
        <w:rPr>
          <w:rFonts w:ascii="Calibri" w:hAnsi="Calibri"/>
          <w:color w:val="000000"/>
          <w:sz w:val="17"/>
        </w:rPr>
        <w:t xml:space="preserve">   |   </w:t>
      </w:r>
      <w:r>
        <w:rPr>
          <w:rFonts w:ascii="Calibri" w:hAnsi="Calibri"/>
          <w:color w:val="000000"/>
          <w:sz w:val="17"/>
        </w:rPr>
        <w:t>Advanced RAG (CampusX)</w:t>
      </w:r>
      <w:r>
        <w:rPr>
          <w:rFonts w:ascii="Calibri" w:hAnsi="Calibri"/>
          <w:color w:val="000000"/>
          <w:sz w:val="17"/>
        </w:rPr>
        <w:t xml:space="preserve">   |   </w:t>
      </w:r>
      <w:hyperlink r:id="rId26">
        <w:r>
          <w:rPr>
            <w:rFonts w:ascii="Calibri" w:hAnsi="Calibri"/>
            <w:sz w:val="17"/>
            <w:color w:val="1D4ED8"/>
            <w:u w:val="single"/>
          </w:rPr>
          <w:t xml:space="preserve">Prompt Engineering</w:t>
        </w:r>
      </w:hyperlink>
      <w:r>
        <w:rPr>
          <w:rFonts w:ascii="Calibri" w:hAnsi="Calibri"/>
          <w:color w:val="000000"/>
          <w:sz w:val="17"/>
        </w:rPr>
        <w:t xml:space="preserve">   |   </w:t>
      </w:r>
      <w:hyperlink r:id="rId27">
        <w:r>
          <w:rPr>
            <w:rFonts w:ascii="Calibri" w:hAnsi="Calibri"/>
            <w:sz w:val="17"/>
            <w:color w:val="1D4ED8"/>
            <w:u w:val="single"/>
          </w:rPr>
          <w:t xml:space="preserve">Docker for ML (CampusX)</w:t>
        </w:r>
      </w:hyperlink>
    </w:p>
    <w:sectPr w:rsidR="00FC693F" w:rsidRPr="0006063C" w:rsidSect="00034616">
      <w:pgSz w:w="12240" w:h="15840"/>
      <w:pgMar w:top="504" w:right="634" w:bottom="504" w:left="6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022778561" TargetMode="External"/><Relationship Id="rId10" Type="http://schemas.openxmlformats.org/officeDocument/2006/relationships/image" Target="media/image1.png"/><Relationship Id="rId11" Type="http://schemas.openxmlformats.org/officeDocument/2006/relationships/hyperlink" Target="mailto:sohangadewar9022@gmail.com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s://vercel.com/sun-6b0b/portfolio" TargetMode="External"/><Relationship Id="rId14" Type="http://schemas.openxmlformats.org/officeDocument/2006/relationships/image" Target="media/image3.png"/><Relationship Id="rId15" Type="http://schemas.openxmlformats.org/officeDocument/2006/relationships/hyperlink" Target="https://www.linkedin.com/in/sohan-gadewar-9644a530b/?isSelfProfile=true" TargetMode="External"/><Relationship Id="rId16" Type="http://schemas.openxmlformats.org/officeDocument/2006/relationships/image" Target="media/image4.png"/><Relationship Id="rId17" Type="http://schemas.openxmlformats.org/officeDocument/2006/relationships/hyperlink" Target="https://github.com/Sohan9022" TargetMode="External"/><Relationship Id="rId18" Type="http://schemas.openxmlformats.org/officeDocument/2006/relationships/image" Target="media/image5.png"/><Relationship Id="rId19" Type="http://schemas.openxmlformats.org/officeDocument/2006/relationships/hyperlink" Target="https://echo-sentinel-08.lovable.app" TargetMode="External"/><Relationship Id="rId20" Type="http://schemas.openxmlformats.org/officeDocument/2006/relationships/hyperlink" Target="https://app.notion.com/p/PROJECT-SENTINEL-3d053f22e2b0800d891bd24a7f914c07?source=copy_link" TargetMode="External"/><Relationship Id="rId21" Type="http://schemas.openxmlformats.org/officeDocument/2006/relationships/hyperlink" Target="https://tell-finmate-ai.lovable.app" TargetMode="External"/><Relationship Id="rId22" Type="http://schemas.openxmlformats.org/officeDocument/2006/relationships/hyperlink" Target="https://app.notion.com/p/FINMATE-AI-3d053f22e2b080479a82e50becf237f2?source=copy_link" TargetMode="External"/><Relationship Id="rId23" Type="http://schemas.openxmlformats.org/officeDocument/2006/relationships/hyperlink" Target="https://drive.google.com/file/d/1EYQfURC7-HouESGvdT4P16jiaZ79m6RE/view?usp=drive_link" TargetMode="External"/><Relationship Id="rId24" Type="http://schemas.openxmlformats.org/officeDocument/2006/relationships/hyperlink" Target="https://drive.google.com/file/d/199XpTr2wp9waMzs4I5PiToiuOoKuQvJK/view?usp=drive_link" TargetMode="External"/><Relationship Id="rId25" Type="http://schemas.openxmlformats.org/officeDocument/2006/relationships/hyperlink" Target="https://drive.google.com/file/d/1phqwetDgCSHg1ykofHUi9J4a7JWGJ74Y/view?usp=drive_link" TargetMode="External"/><Relationship Id="rId26" Type="http://schemas.openxmlformats.org/officeDocument/2006/relationships/hyperlink" Target="https://drive.google.com/file/d/1NqDNLf16tuThGlGOO2cFp1IxiTjWQCFP/view?usp=drive_link" TargetMode="External"/><Relationship Id="rId27" Type="http://schemas.openxmlformats.org/officeDocument/2006/relationships/hyperlink" Target="https://drive.google.com/file/d/16eh0ob2JVliyVaThmYrngZXz-AVuKIV0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