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31195" w14:textId="0576FFDF" w:rsidR="00182D09" w:rsidRDefault="006133FA">
      <w:pPr>
        <w:rPr>
          <w:b/>
          <w:sz w:val="28"/>
          <w:szCs w:val="28"/>
          <w:u w:val="single"/>
          <w:lang w:val="fr-FR"/>
        </w:rPr>
      </w:pPr>
      <w:r w:rsidRPr="00806916">
        <w:rPr>
          <w:b/>
          <w:sz w:val="28"/>
          <w:szCs w:val="28"/>
          <w:u w:val="single"/>
          <w:lang w:val="fr-FR"/>
        </w:rPr>
        <w:t xml:space="preserve">USE </w:t>
      </w:r>
      <w:proofErr w:type="gramStart"/>
      <w:r w:rsidR="0011492D" w:rsidRPr="00806916">
        <w:rPr>
          <w:b/>
          <w:sz w:val="28"/>
          <w:szCs w:val="28"/>
          <w:u w:val="single"/>
          <w:lang w:val="fr-FR"/>
        </w:rPr>
        <w:t>CASE:</w:t>
      </w:r>
      <w:proofErr w:type="gramEnd"/>
      <w:r w:rsidRPr="00806916">
        <w:rPr>
          <w:b/>
          <w:sz w:val="28"/>
          <w:szCs w:val="28"/>
          <w:u w:val="single"/>
          <w:lang w:val="fr-FR"/>
        </w:rPr>
        <w:t xml:space="preserve"> </w:t>
      </w:r>
      <w:r w:rsidR="00806916" w:rsidRPr="00806916">
        <w:rPr>
          <w:b/>
          <w:sz w:val="28"/>
          <w:szCs w:val="28"/>
          <w:u w:val="single"/>
          <w:lang w:val="fr-FR"/>
        </w:rPr>
        <w:t>Payer une facture par virement automatique</w:t>
      </w:r>
    </w:p>
    <w:p w14:paraId="4142BBDE" w14:textId="77777777" w:rsidR="00B25722" w:rsidRPr="00806916" w:rsidRDefault="00B25722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5146F5B8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</w:t>
      </w:r>
      <w:r w:rsidR="00806916">
        <w:t>verser le montant d'une facture via un virement automatique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7F7A0CA3" w:rsidR="00182D09" w:rsidRDefault="00E808E8" w:rsidP="002D5360">
      <w:pPr>
        <w:numPr>
          <w:ilvl w:val="0"/>
          <w:numId w:val="1"/>
        </w:numPr>
      </w:pPr>
      <w:r>
        <w:t xml:space="preserve">Le système </w:t>
      </w:r>
      <w:r w:rsidR="00806916">
        <w:t>charge la liste des comptes bancaires et affiche le formulaire de virement automatique</w:t>
      </w:r>
    </w:p>
    <w:p w14:paraId="0B973111" w14:textId="46E74269" w:rsidR="00806916" w:rsidRDefault="0011492D" w:rsidP="00806916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806916">
        <w:rPr>
          <w:lang w:val="fr-FR"/>
        </w:rPr>
        <w:t>sélectionne le compte débiteur et saisit l'IBAN du destinataire ainsi que le montant.</w:t>
      </w:r>
    </w:p>
    <w:p w14:paraId="0821470F" w14:textId="4C0D2FC0" w:rsidR="0011492D" w:rsidRDefault="0011492D" w:rsidP="0011492D">
      <w:pPr>
        <w:numPr>
          <w:ilvl w:val="0"/>
          <w:numId w:val="1"/>
        </w:numPr>
      </w:pPr>
      <w:r>
        <w:t xml:space="preserve">Le système </w:t>
      </w:r>
      <w:r w:rsidR="00806916">
        <w:t>vérifie les champs</w:t>
      </w:r>
    </w:p>
    <w:p w14:paraId="30EDA8B3" w14:textId="7A8DA740" w:rsidR="00806916" w:rsidRDefault="00806916" w:rsidP="0011492D">
      <w:pPr>
        <w:numPr>
          <w:ilvl w:val="0"/>
          <w:numId w:val="1"/>
        </w:numPr>
      </w:pPr>
      <w:r>
        <w:t>L'utilisateur valide sa saisie</w:t>
      </w:r>
    </w:p>
    <w:p w14:paraId="05FACF78" w14:textId="03F17E33" w:rsidR="0011492D" w:rsidRDefault="0011492D" w:rsidP="0011492D">
      <w:pPr>
        <w:numPr>
          <w:ilvl w:val="0"/>
          <w:numId w:val="1"/>
        </w:numPr>
      </w:pPr>
      <w:r>
        <w:t xml:space="preserve">Le système </w:t>
      </w:r>
      <w:r w:rsidR="00806916">
        <w:t>enregistre le virement et traite avec la banque sélectionnée.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AC4024D" w14:textId="3546F425" w:rsidR="00806916" w:rsidRDefault="00806916" w:rsidP="004C45CA">
      <w:pPr>
        <w:numPr>
          <w:ilvl w:val="0"/>
          <w:numId w:val="2"/>
        </w:numPr>
      </w:pPr>
      <w:r>
        <w:t>FA1 : Le système ne charge pas la liste des compte bancaires (étape a) affiche un message d'erreur et fin du use case.</w:t>
      </w:r>
    </w:p>
    <w:p w14:paraId="7A8AB077" w14:textId="50236061" w:rsidR="00182D09" w:rsidRDefault="006133FA" w:rsidP="004C45CA">
      <w:pPr>
        <w:numPr>
          <w:ilvl w:val="0"/>
          <w:numId w:val="2"/>
        </w:numPr>
      </w:pPr>
      <w:r>
        <w:t>FA</w:t>
      </w:r>
      <w:r w:rsidR="00806916">
        <w:t>2</w:t>
      </w:r>
      <w:r>
        <w:t xml:space="preserve"> : le </w:t>
      </w:r>
      <w:r w:rsidR="00806916">
        <w:t>système détecte une erreur dans la saisie du montant ou du destinataire (étape c) affiche un message d'erreur et retour à l'étape b.</w:t>
      </w:r>
    </w:p>
    <w:p w14:paraId="783544CC" w14:textId="630C1D14" w:rsidR="00806916" w:rsidRDefault="00806916" w:rsidP="004C45CA">
      <w:pPr>
        <w:numPr>
          <w:ilvl w:val="0"/>
          <w:numId w:val="2"/>
        </w:numPr>
      </w:pPr>
      <w:r>
        <w:t xml:space="preserve">FA3 : le système ne parvient pas à enregistrer le virement (étape e), affiche un message d'erreur et </w:t>
      </w:r>
      <w:r w:rsidR="00473493">
        <w:t>retour à l'étape b.</w:t>
      </w:r>
    </w:p>
    <w:p w14:paraId="35A0B3AD" w14:textId="77777777" w:rsidR="00182D09" w:rsidRDefault="00182D09">
      <w:pPr>
        <w:ind w:left="720"/>
      </w:pPr>
    </w:p>
    <w:p w14:paraId="383B47B9" w14:textId="553B67A3" w:rsidR="002D5360" w:rsidRDefault="002D5360"/>
    <w:p w14:paraId="6303B37A" w14:textId="77777777" w:rsidR="002D5360" w:rsidRDefault="002D5360"/>
    <w:p w14:paraId="18334E52" w14:textId="77777777" w:rsidR="00140A89" w:rsidRDefault="00140A89"/>
    <w:p w14:paraId="2466ACE0" w14:textId="68DF90FE" w:rsidR="004C45CA" w:rsidRDefault="006133FA" w:rsidP="004C45C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726AD0BF" w14:textId="77777777" w:rsidR="004C45CA" w:rsidRDefault="004C45CA" w:rsidP="004C45CA">
      <w:pPr>
        <w:rPr>
          <w:b/>
        </w:rPr>
      </w:pPr>
    </w:p>
    <w:p w14:paraId="0F81F34D" w14:textId="77777777" w:rsidR="004C45CA" w:rsidRDefault="004C45CA" w:rsidP="004C45CA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4C45CA" w:rsidRPr="000E14C5" w14:paraId="280D68D6" w14:textId="77777777" w:rsidTr="006D7EE3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75F85F3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76A27EDC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2E9B7FB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6B43EDF9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4C45CA" w:rsidRPr="000E14C5" w14:paraId="68D8027D" w14:textId="77777777" w:rsidTr="006D7EE3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257BAB7E" w14:textId="723CBA89" w:rsidR="004C45CA" w:rsidRPr="00140A89" w:rsidRDefault="00473493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 bancaire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6EBAC5" w14:textId="7D7EEA1B" w:rsidR="004C45CA" w:rsidRPr="00140A89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6FFE1AB" w14:textId="5529E991" w:rsidR="004C45CA" w:rsidRPr="00140A89" w:rsidRDefault="003015BD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1814F9C" w14:textId="422E874D" w:rsidR="004C45CA" w:rsidRPr="00140A89" w:rsidRDefault="003015BD" w:rsidP="004C45C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C45CA" w:rsidRPr="000E14C5" w14:paraId="3E8665D5" w14:textId="77777777" w:rsidTr="006D7EE3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73817FC" w14:textId="3BD46732" w:rsidR="004C45CA" w:rsidRDefault="00473493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IBAN destinataire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3DFD0BCB" w14:textId="62263F48" w:rsidR="004C45CA" w:rsidRDefault="00473493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</w:t>
            </w:r>
            <w:r w:rsidR="004C45CA">
              <w:rPr>
                <w:sz w:val="20"/>
                <w:szCs w:val="20"/>
              </w:rPr>
              <w:t>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FBA3E4B" w14:textId="1601253C" w:rsidR="004C45CA" w:rsidRDefault="003015BD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16F48B08" w14:textId="78C6930E" w:rsidR="004C45CA" w:rsidRDefault="00473493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bancaire IBAN</w:t>
            </w:r>
          </w:p>
        </w:tc>
      </w:tr>
      <w:tr w:rsidR="003015BD" w:rsidRPr="000E14C5" w14:paraId="5E9B4828" w14:textId="77777777" w:rsidTr="006D7EE3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41A4D549" w14:textId="2E759864" w:rsidR="003015BD" w:rsidRPr="00140A89" w:rsidRDefault="003015BD" w:rsidP="003015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B97389E" w14:textId="02B825A0" w:rsidR="003015BD" w:rsidRPr="00140A89" w:rsidRDefault="003015BD" w:rsidP="003015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3640335" w14:textId="1A94C56A" w:rsidR="003015BD" w:rsidRPr="00140A89" w:rsidRDefault="003015BD" w:rsidP="003015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4EDBBAD4" w14:textId="2FE375B9" w:rsidR="003015BD" w:rsidRPr="000E14C5" w:rsidRDefault="003015BD" w:rsidP="003015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062C0B04" w14:textId="77777777" w:rsidR="004C45CA" w:rsidRDefault="004C45CA" w:rsidP="004C45CA">
      <w:pPr>
        <w:rPr>
          <w:bCs/>
          <w:i/>
          <w:iCs/>
        </w:rPr>
      </w:pPr>
    </w:p>
    <w:p w14:paraId="34DEA8EE" w14:textId="77777777" w:rsidR="00140A89" w:rsidRDefault="00140A89"/>
    <w:p w14:paraId="5566F788" w14:textId="6448F9D4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0216416D" w14:textId="11613C78" w:rsidR="004C45CA" w:rsidRDefault="000E14C5" w:rsidP="003015B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À, Á, Â, Ã, Ä, Å, Æ, Ç, È, É, Ê, Ë, Ì, Í, Î, Ï, Ð, Ñ, Ò, Ó, Ô, Õ, Ö, Ø, Œ, Š, þ, Ù, Ú, Û, Ü, Ý, Ÿ, à, á, â, ã, ä, å, æ, ç, è, é, ê, ë, ì, í, î, ï, ð, ñ, ò, ó, ô, õ, ö, ø, œ, š, Þ, ù, ú, û, ü, ý, ÿ, </w:t>
      </w:r>
      <w:r w:rsidR="003015BD">
        <w:rPr>
          <w:sz w:val="24"/>
          <w:szCs w:val="24"/>
        </w:rPr>
        <w:t>-</w:t>
      </w:r>
    </w:p>
    <w:p w14:paraId="5A59729A" w14:textId="77777777" w:rsidR="003015BD" w:rsidRPr="003015BD" w:rsidRDefault="003015BD" w:rsidP="003015BD">
      <w:pPr>
        <w:rPr>
          <w:sz w:val="24"/>
          <w:szCs w:val="24"/>
        </w:rPr>
      </w:pPr>
    </w:p>
    <w:p w14:paraId="53DF6752" w14:textId="2576B2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0EE9612A" w:rsidR="00182D09" w:rsidRDefault="004C45CA"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4EC1CB" wp14:editId="52EDA1B9">
            <wp:simplePos x="0" y="0"/>
            <wp:positionH relativeFrom="column">
              <wp:posOffset>457200</wp:posOffset>
            </wp:positionH>
            <wp:positionV relativeFrom="paragraph">
              <wp:posOffset>101600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quePayerEtConsulterVire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2A215" w14:textId="25819CC7" w:rsidR="00182D09" w:rsidRDefault="004C45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44832" wp14:editId="135783F3">
                <wp:simplePos x="0" y="0"/>
                <wp:positionH relativeFrom="column">
                  <wp:posOffset>-180356</wp:posOffset>
                </wp:positionH>
                <wp:positionV relativeFrom="paragraph">
                  <wp:posOffset>1703911</wp:posOffset>
                </wp:positionV>
                <wp:extent cx="2032907" cy="3080409"/>
                <wp:effectExtent l="57150" t="19050" r="81915" b="1009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907" cy="30804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CE481" id="Rectangle 3" o:spid="_x0000_s1026" style="position:absolute;margin-left:-14.2pt;margin-top:134.15pt;width:160.05pt;height:24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" filled="f" strokecolor="#c00000" strokeweight="1.5pt">
                <v:shadow on="t" color="black" opacity="22937f" origin=",.5" offset="0,.63889mm"/>
              </v:rect>
            </w:pict>
          </mc:Fallback>
        </mc:AlternateContent>
      </w:r>
      <w:r w:rsidRPr="0041251C">
        <w:rPr>
          <w:bCs/>
        </w:rPr>
        <w:t xml:space="preserve">Dans le cadre de ce </w:t>
      </w:r>
      <w:r>
        <w:rPr>
          <w:bCs/>
        </w:rPr>
        <w:t>U</w:t>
      </w:r>
      <w:r w:rsidRPr="0041251C">
        <w:rPr>
          <w:bCs/>
        </w:rPr>
        <w:t xml:space="preserve">se </w:t>
      </w:r>
      <w:r>
        <w:rPr>
          <w:bCs/>
        </w:rPr>
        <w:t>C</w:t>
      </w:r>
      <w:r w:rsidRPr="0041251C">
        <w:rPr>
          <w:bCs/>
        </w:rPr>
        <w:t xml:space="preserve">ase, nous nous intéresserons à la partie encadrée. Nous avons fait le choix de lier ce Use Case à celui de </w:t>
      </w:r>
      <w:r w:rsidR="00806916">
        <w:rPr>
          <w:bCs/>
          <w:i/>
          <w:iCs/>
        </w:rPr>
        <w:t>Consulter les virements</w:t>
      </w:r>
      <w:r>
        <w:rPr>
          <w:bCs/>
          <w:i/>
          <w:iCs/>
        </w:rPr>
        <w:t xml:space="preserve">, </w:t>
      </w:r>
      <w:r>
        <w:rPr>
          <w:bCs/>
        </w:rPr>
        <w:t>afin d'a</w:t>
      </w:r>
      <w:r w:rsidRPr="0041251C">
        <w:rPr>
          <w:bCs/>
        </w:rPr>
        <w:t>méliorer l'expérience utilisateur</w:t>
      </w:r>
      <w:r>
        <w:rPr>
          <w:bCs/>
        </w:rPr>
        <w:t>.</w:t>
      </w:r>
      <w:r w:rsidRPr="004C45CA">
        <w:rPr>
          <w:noProof/>
        </w:rPr>
        <w:t xml:space="preserve"> </w:t>
      </w:r>
    </w:p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BF19B" w14:textId="77777777" w:rsidR="00405B69" w:rsidRDefault="00405B69">
      <w:pPr>
        <w:spacing w:line="240" w:lineRule="auto"/>
      </w:pPr>
      <w:r>
        <w:separator/>
      </w:r>
    </w:p>
  </w:endnote>
  <w:endnote w:type="continuationSeparator" w:id="0">
    <w:p w14:paraId="6F0B44D1" w14:textId="77777777" w:rsidR="00405B69" w:rsidRDefault="00405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AD64D" w14:textId="77777777" w:rsidR="00405B69" w:rsidRDefault="00405B69">
      <w:pPr>
        <w:spacing w:line="240" w:lineRule="auto"/>
      </w:pPr>
      <w:r>
        <w:separator/>
      </w:r>
    </w:p>
  </w:footnote>
  <w:footnote w:type="continuationSeparator" w:id="0">
    <w:p w14:paraId="739F6F41" w14:textId="77777777" w:rsidR="00405B69" w:rsidRDefault="00405B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1492D"/>
    <w:rsid w:val="00131580"/>
    <w:rsid w:val="00140A89"/>
    <w:rsid w:val="00182D09"/>
    <w:rsid w:val="00191A25"/>
    <w:rsid w:val="001D64D0"/>
    <w:rsid w:val="001D7137"/>
    <w:rsid w:val="002D5360"/>
    <w:rsid w:val="003015BD"/>
    <w:rsid w:val="00324E7D"/>
    <w:rsid w:val="003E4735"/>
    <w:rsid w:val="003F4BDE"/>
    <w:rsid w:val="00405B69"/>
    <w:rsid w:val="00473493"/>
    <w:rsid w:val="00494832"/>
    <w:rsid w:val="004B4909"/>
    <w:rsid w:val="004C45CA"/>
    <w:rsid w:val="00596144"/>
    <w:rsid w:val="006133FA"/>
    <w:rsid w:val="00630AF4"/>
    <w:rsid w:val="0064027E"/>
    <w:rsid w:val="00675BF4"/>
    <w:rsid w:val="00743A8F"/>
    <w:rsid w:val="00806916"/>
    <w:rsid w:val="008D006F"/>
    <w:rsid w:val="00953594"/>
    <w:rsid w:val="0096182E"/>
    <w:rsid w:val="0099422A"/>
    <w:rsid w:val="00B25722"/>
    <w:rsid w:val="00B41A86"/>
    <w:rsid w:val="00BE6B98"/>
    <w:rsid w:val="00C479D9"/>
    <w:rsid w:val="00C754F8"/>
    <w:rsid w:val="00DB16D5"/>
    <w:rsid w:val="00DB3F1C"/>
    <w:rsid w:val="00DF122F"/>
    <w:rsid w:val="00E019EA"/>
    <w:rsid w:val="00E808E8"/>
    <w:rsid w:val="00EA5C54"/>
    <w:rsid w:val="00E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2020-05-31T19:29:00Z</dcterms:created>
  <dcterms:modified xsi:type="dcterms:W3CDTF">2020-05-31T19:31:00Z</dcterms:modified>
</cp:coreProperties>
</file>