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GAS HOLDINGS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VINOD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VINOD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AMG MEDIA NETWORKS LIMITED</w:t>
      </w:r>
    </w:p>
    <w:p>
      <w:pPr>
        <w:spacing w:before="0" w:after="20"/>
        <w:jc w:val="left"/>
      </w:pPr>
      <w:r>
        <w:rPr>
          <w:rFonts w:ascii="Adani" w:hAnsi="Adani"/>
          <w:b/>
          <w:sz w:val="20"/>
          <w:u w:val="none"/>
        </w:rPr>
        <w:t>ADANI SPORTSLINE PRIVATE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MUNDRA SYNENERGY LIMITED</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PROPERTIES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INFRASTRUCTURE AND DEVELOPERS PRIVATE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ADANI PORT INFRASTRUCTURE PRIVATE LIMITE 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AMG MEDIA NETWORKS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MUNDRA SYNENERGY LIMITED</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AGRI FRESH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SPORTSLINE PRIVATE LIMITED</w:t>
      </w:r>
    </w:p>
    <w:p>
      <w:pPr>
        <w:spacing w:before="0" w:after="20"/>
        <w:jc w:val="left"/>
      </w:pPr>
      <w:r>
        <w:rPr>
          <w:rFonts w:ascii="Adani" w:hAnsi="Adani"/>
          <w:b w:val="0"/>
          <w:sz w:val="20"/>
          <w:u w:val="none"/>
        </w:rPr>
        <w:t>ADANI PROPERTIES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INFRASTRUCTURE AND DEVELOPERS PRIVATE LIMITED</w:t>
      </w:r>
    </w:p>
    <w:p>
      <w:pPr>
        <w:spacing w:before="0" w:after="20"/>
        <w:jc w:val="left"/>
      </w:pPr>
      <w:r>
        <w:rPr>
          <w:rFonts w:ascii="Adani" w:hAnsi="Adani"/>
          <w:b w:val="0"/>
          <w:sz w:val="20"/>
          <w:u w:val="none"/>
        </w:rPr>
        <w:t>ADANI PORT INFRASTRUCTURE PRIVATE LIMITE 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VINOD ADANI</w:t>
      </w:r>
    </w:p>
    <w:p>
      <w:pPr>
        <w:spacing w:before="0" w:after="40"/>
        <w:jc w:val="left"/>
      </w:pPr>
      <w:r>
        <w:rPr>
          <w:rFonts w:ascii="Adani" w:hAnsi="Adani"/>
          <w:b w:val="0"/>
          <w:sz w:val="20"/>
          <w:u w:val="none"/>
        </w:rPr>
        <w:t>DIN: 00008457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00008457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VINOD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U32304GJ2022PLC131425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U92490GJ2019PTC111178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U40106GJ2014PLC078744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U45201GJ1995PTC026067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U45201GJ2006PTC066449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