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JEAN-RAPHAEL, RAINER, MARIE, JACQUES BODEN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JEAN-RAPHAEL, RAINER, MARIE, JACQUES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JEAN-RAPHAEL, RAINER, MARIE, JACQUES BODEN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JEAN-RAPHAEL, RAINER, MARIE, JACQUES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JEAN-RAPHAEL, RAINER, MARIE, JACQUES BODEN</w:t>
      </w:r>
    </w:p>
    <w:p>
      <w:pPr>
        <w:spacing w:before="0" w:after="40"/>
        <w:jc w:val="left"/>
      </w:pPr>
      <w:r>
        <w:rPr>
          <w:rFonts w:ascii="Adani" w:hAnsi="Adani"/>
          <w:b w:val="0"/>
          <w:sz w:val="20"/>
          <w:u w:val="none"/>
        </w:rPr>
        <w:t>DIN: 10825941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10825941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JEAN-RAPHAEL, RAINER, MARIE, JACQUES BODEN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