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KANDLA BULK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UNMESH MADHUSUDAN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UNMESH MADHUSUDAN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MUNDRA INTERNATIONAL AIRPORT LIMITED</w:t>
      </w:r>
    </w:p>
    <w:p>
      <w:pPr>
        <w:spacing w:before="0" w:after="20"/>
        <w:jc w:val="left"/>
      </w:pPr>
      <w:r>
        <w:rPr>
          <w:rFonts w:ascii="Adani" w:hAnsi="Adani"/>
          <w:b/>
          <w:sz w:val="20"/>
          <w:u w:val="none"/>
        </w:rPr>
        <w:t>KUTCH RAILWAY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MUNDRA INTERNATIONAL AIRPORT LIMITED</w:t>
      </w:r>
    </w:p>
    <w:p>
      <w:pPr>
        <w:spacing w:before="0" w:after="20"/>
        <w:jc w:val="left"/>
      </w:pPr>
      <w:r>
        <w:rPr>
          <w:rFonts w:ascii="Adani" w:hAnsi="Adani"/>
          <w:b w:val="0"/>
          <w:sz w:val="20"/>
          <w:u w:val="none"/>
        </w:rPr>
        <w:t>KUTCH RAILWAY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UNMESH MADHUSUDAN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UNMESH MADHUSUDAN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U62200GJ2009PLC057726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