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BARMER ONE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VIJAYKUMAR CHIMANBHAI LAD</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VIJAYKUMAR CHIMANBHAI LAD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VIJAYKUMAR CHIMANBHAI LAD</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09222614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KUTCHH FIVE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RENEWABLE ENERGY HOLDING THREE LIMITED</w:t>
      </w:r>
    </w:p>
    <w:p>
      <w:pPr>
        <w:spacing w:before="0" w:after="20"/>
        <w:jc w:val="left"/>
      </w:pPr>
      <w:r>
        <w:rPr>
          <w:rFonts w:ascii="Adani" w:hAnsi="Adani"/>
          <w:b/>
          <w:sz w:val="20"/>
          <w:u w:val="none"/>
        </w:rPr>
        <w:t>ADANI RENEWABLE ENERGY HOLDING FIVE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RENEWABLE ENERGY THIRTY ONE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WIND ENERGY KUTCHH FIVE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RENEWABLE ENERGY HOLDING THREE LIMITED</w:t>
      </w:r>
    </w:p>
    <w:p>
      <w:pPr>
        <w:spacing w:before="0" w:after="20"/>
        <w:jc w:val="left"/>
      </w:pPr>
      <w:r>
        <w:rPr>
          <w:rFonts w:ascii="Adani" w:hAnsi="Adani"/>
          <w:b w:val="0"/>
          <w:sz w:val="20"/>
          <w:u w:val="none"/>
        </w:rPr>
        <w:t>ADANI RENEWABLE ENERGY HOLDING FIVE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RENEWABLE ENERGY THIRTY ONE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VIJAYKUMAR CHIMANBHAI LAD</w:t>
      </w:r>
    </w:p>
    <w:p>
      <w:pPr>
        <w:spacing w:before="0" w:after="40"/>
        <w:jc w:val="left"/>
      </w:pPr>
      <w:r>
        <w:rPr>
          <w:rFonts w:ascii="Adani" w:hAnsi="Adani"/>
          <w:b w:val="0"/>
          <w:sz w:val="20"/>
          <w:u w:val="none"/>
        </w:rPr>
        <w:t>DIN: 09222614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09222614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VIJAYKUMAR CHIMANBHAI LAD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U40106GJ2019PLC106798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U70101GJ2015PLC083588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U40106DL2020PTC360038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THIRTY ONE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