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AMITY CONSULTANTS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LNR IPR SOLUTIONS LLP</w:t>
      </w:r>
    </w:p>
    <w:p>
      <w:pPr>
        <w:spacing w:before="0" w:after="20"/>
        <w:jc w:val="left"/>
      </w:pPr>
      <w:r>
        <w:rPr>
          <w:rFonts w:ascii="Adani" w:hAnsi="Adani"/>
          <w:b/>
          <w:sz w:val="20"/>
          <w:u w:val="none"/>
        </w:rPr>
        <w:t>CORONEY TECHNOLOGIES PRIVATE LIMITED</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CONCORD BIOTECH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KRV INSOLVENCY PROFESSIONALS LLP</w:t>
      </w:r>
    </w:p>
    <w:p>
      <w:pPr>
        <w:spacing w:before="0" w:after="20"/>
        <w:jc w:val="left"/>
      </w:pPr>
      <w:r>
        <w:rPr>
          <w:rFonts w:ascii="Adani" w:hAnsi="Adani"/>
          <w:b w:val="0"/>
          <w:sz w:val="20"/>
          <w:u w:val="none"/>
        </w:rPr>
        <w:t>LNR IPR SOLUTIONS LLP</w:t>
      </w:r>
    </w:p>
    <w:p>
      <w:pPr>
        <w:spacing w:before="0" w:after="20"/>
        <w:jc w:val="left"/>
      </w:pPr>
      <w:r>
        <w:rPr>
          <w:rFonts w:ascii="Adani" w:hAnsi="Adani"/>
          <w:b w:val="0"/>
          <w:sz w:val="20"/>
          <w:u w:val="none"/>
        </w:rPr>
        <w:t>CONCORD BIOTECH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CORONEY TECHNOLOGIES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 KAPOOR</w:t>
      </w:r>
    </w:p>
    <w:p>
      <w:pPr>
        <w:spacing w:before="0" w:after="40"/>
        <w:jc w:val="left"/>
      </w:pPr>
      <w:r>
        <w:rPr>
          <w:rFonts w:ascii="Adani" w:hAnsi="Adani"/>
          <w:b w:val="0"/>
          <w:sz w:val="20"/>
          <w:u w:val="none"/>
        </w:rPr>
        <w:t>DIN: 00003847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00003847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AAH-4817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U74900GJ2008PTC053973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L24230GJ1984PLC007440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