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BIKANER-KHETRI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KHARGHAR VIKHROLI TRANSMISSION LIMITED</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BIKANER-KHETRI TRANSMISSION LIMITED</w:t>
      </w:r>
    </w:p>
    <w:p>
      <w:pPr>
        <w:spacing w:before="0" w:after="20"/>
        <w:jc w:val="left"/>
      </w:pPr>
      <w:r>
        <w:rPr>
          <w:rFonts w:ascii="Adani" w:hAnsi="Adani"/>
          <w:b/>
          <w:sz w:val="20"/>
          <w:u w:val="none"/>
        </w:rPr>
        <w:t>GOPALAYA BUILD ESTATE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KHARGHAR VIKHROLI TRANSMISSION LIMITED</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BIKANER-KHETRI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GOPALAYA BUILD ESTATE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U40106GJ2019SGC130217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U68100GJ2019PTC110707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