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SRIKANTH GUDIVADA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SRIKANTH GUDIVADA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KRISHNAPATNAM CONTAINER TERMINAL PRIVATE LIMITED</w:t>
      </w:r>
    </w:p>
    <w:p>
      <w:pPr>
        <w:spacing w:before="0" w:after="20"/>
        <w:jc w:val="left"/>
      </w:pPr>
      <w:r>
        <w:rPr>
          <w:rFonts w:ascii="Adani" w:hAnsi="Adani"/>
          <w:b/>
          <w:sz w:val="20"/>
          <w:u w:val="none"/>
        </w:rPr>
        <w:t>AYN LOGISTICS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KRISHNAPATNAM CONTAINER TERMINAL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SRIKANTH GUDIVADA</w:t>
      </w:r>
    </w:p>
    <w:p>
      <w:pPr>
        <w:spacing w:before="0" w:after="40"/>
        <w:jc w:val="left"/>
      </w:pPr>
      <w:r>
        <w:rPr>
          <w:rFonts w:ascii="Adani" w:hAnsi="Adani"/>
          <w:b w:val="0"/>
          <w:sz w:val="20"/>
          <w:u w:val="none"/>
        </w:rPr>
        <w:t>DIN: 09404960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09404960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SRIKANTH GUDIVADA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U63030GJ2012PTC127651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