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EMPEZAR CONSULTING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ELEANOR MANUFACTURING PRIVATE LIMITED</w:t>
      </w:r>
    </w:p>
    <w:p>
      <w:pPr>
        <w:spacing w:before="0" w:after="20"/>
        <w:jc w:val="left"/>
      </w:pPr>
      <w:r>
        <w:rPr>
          <w:rFonts w:ascii="Adani" w:hAnsi="Adani"/>
          <w:b/>
          <w:sz w:val="20"/>
          <w:u w:val="none"/>
        </w:rPr>
        <w:t>ELEANOR TRADELINKS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ELEANOR MANUFACTURING PRIVATE LIMITED</w:t>
      </w:r>
    </w:p>
    <w:p>
      <w:pPr>
        <w:spacing w:before="0" w:after="20"/>
        <w:jc w:val="left"/>
      </w:pPr>
      <w:r>
        <w:rPr>
          <w:rFonts w:ascii="Adani" w:hAnsi="Adani"/>
          <w:b w:val="0"/>
          <w:sz w:val="20"/>
          <w:u w:val="none"/>
        </w:rPr>
        <w:t>ELEANOR TRADELINKS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U29190GJ2020PTC111834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U50400GJ2019PTC111730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