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NORTH MAHARASHTRA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EMERGING BUSINESSES PRIVATE LIMITED</w:t>
      </w:r>
    </w:p>
    <w:p>
      <w:pPr>
        <w:spacing w:before="0" w:after="20"/>
        <w:jc w:val="left"/>
      </w:pPr>
      <w:r>
        <w:rPr>
          <w:rFonts w:ascii="Adani" w:hAnsi="Adani"/>
          <w:b/>
          <w:sz w:val="20"/>
          <w:u w:val="none"/>
        </w:rPr>
        <w:t>BRAHMI TRACKS MANAGEMENT SERVICES PRIVATE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RAIL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EMERGING BUSINESSES PRIVATE LIMITED</w:t>
      </w:r>
    </w:p>
    <w:p>
      <w:pPr>
        <w:spacing w:before="0" w:after="20"/>
        <w:jc w:val="left"/>
      </w:pPr>
      <w:r>
        <w:rPr>
          <w:rFonts w:ascii="Adani" w:hAnsi="Adani"/>
          <w:b w:val="0"/>
          <w:sz w:val="20"/>
          <w:u w:val="none"/>
        </w:rPr>
        <w:t>BRAHMI TRACKS MANAGEMENT SERVICES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ADANI RAIL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U51909GJ2021PTC128325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U35100GJ2019PTC110704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