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PARAMPUJYA SOLAR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Pr>
        <w:spacing w:before="0" w:after="20"/>
        <w:jc w:val="left"/>
      </w:pPr>
      <w:r>
        <w:rPr>
          <w:rFonts w:ascii="Adani" w:hAnsi="Adani"/>
          <w:b/>
          <w:sz w:val="20"/>
          <w:u w:val="none"/>
        </w:rPr>
        <w:t>ADANI POWER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MAHARASHTRA LIMITED</w:t>
      </w:r>
    </w:p>
    <w:p>
      <w:pPr>
        <w:spacing w:before="0" w:after="20"/>
        <w:jc w:val="left"/>
      </w:pPr>
      <w:r>
        <w:rPr>
          <w:rFonts w:ascii="Adani" w:hAnsi="Adani"/>
          <w:b w:val="0"/>
          <w:sz w:val="20"/>
          <w:u w:val="none"/>
        </w:rPr>
        <w:t>ADANI POWER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