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PETRONET LNG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Pr>
        <w:spacing w:before="0" w:after="20"/>
        <w:jc w:val="left"/>
      </w:pPr>
      <w:r>
        <w:rPr>
          <w:rFonts w:ascii="Adani" w:hAnsi="Adani"/>
          <w:b/>
          <w:sz w:val="20"/>
          <w:u w:val="none"/>
        </w:rPr>
        <w:t>PETRONET LNG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Pr>
        <w:spacing w:before="0" w:after="20"/>
        <w:jc w:val="left"/>
      </w:pPr>
      <w:r>
        <w:rPr>
          <w:rFonts w:ascii="Adani" w:hAnsi="Adani"/>
          <w:b w:val="0"/>
          <w:sz w:val="20"/>
          <w:u w:val="none"/>
        </w:rPr>
        <w:t>PETRONET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