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SANGOD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FATEHGARH-BHADLA TRANSMISSION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ADANI RENEWABLE ENERGY PARK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FATEHGARH-BHADLA TRANSMISSION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ADANI RENEWABLE ENERGY PARK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SHARMA</w:t>
      </w:r>
    </w:p>
    <w:p>
      <w:pPr>
        <w:spacing w:before="0" w:after="40"/>
        <w:jc w:val="left"/>
      </w:pPr>
      <w:r>
        <w:rPr>
          <w:rFonts w:ascii="Adani" w:hAnsi="Adani"/>
          <w:b w:val="0"/>
          <w:sz w:val="20"/>
          <w:u w:val="none"/>
        </w:rPr>
        <w:t>DIN: 10818799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10818799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U40300GJ2016GOI120820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