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KATTUPALLI PORT LIMITED</w:t>
      </w:r>
    </w:p>
    <w:p>
      <w:pPr>
        <w:pStyle w:val="NoSpacing"/>
      </w:pPr>
      <w:r>
        <w:rPr>
          <w:rFonts w:ascii="Adani Regular" w:hAnsi="Adani Regular"/>
          <w:sz w:val="22"/>
        </w:rPr>
        <w:t>AY BUILDERS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Aeena Jagga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KATTUPALLI PORT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AY BUILDERS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Aeena Jagga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10818973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Aeena Jagga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Aeena Jagga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10818973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KATTUPALLI PORT LIMITED</w:t>
      </w:r>
    </w:p>
    <w:p>
      <w:pPr>
        <w:pStyle w:val="NoSpacing"/>
      </w:pPr>
      <w:r>
        <w:rPr>
          <w:rFonts w:ascii="Adani Regular" w:hAnsi="Adani Regular"/>
          <w:sz w:val="22"/>
        </w:rPr>
        <w:t>AY BUILDERS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KATTUPALLI PORT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AY BUILDERS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Aeena Jagga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10818973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