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MUNDRA SPECIAL ECONOMIC ZONE LIMITED</w:t>
      </w:r>
    </w:p>
    <w:p>
      <w:pPr>
        <w:pStyle w:val="NoSpacing"/>
      </w:pPr>
      <w:r>
        <w:rPr>
          <w:rFonts w:ascii="Adani Regular" w:hAnsi="Adani Regular"/>
          <w:sz w:val="22"/>
        </w:rPr>
        <w:t>ADANI LOGISTICS LIMITED</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MEDICITY AND RESEARCH CENTER</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ADANI ENTERPRISES LIMITED</w:t>
      </w:r>
    </w:p>
    <w:p>
      <w:pPr>
        <w:pStyle w:val="NoSpacing"/>
      </w:pPr>
      <w:r>
        <w:rPr>
          <w:rFonts w:ascii="Adani Regular" w:hAnsi="Adani Regular"/>
          <w:sz w:val="22"/>
        </w:rPr>
        <w:t>AMBUJA CEMENTS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Gautam Adani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INFRA (INDIA)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FOUNDATION</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MUNDRA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LOGISTICS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INSTITUTE FOR EDUCATION AND RESEARCH</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ADANI MEDICITY AND RESEARCH CENTER</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ENERGY SOLUTIONS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GREEN ENERGY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TOTAL GAS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POWER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ADANI ENTERPRISES LIMITED</w:t>
            </w:r>
          </w:p>
        </w:tc>
        <w:tc>
          <w:tcPr>
            <w:tcW w:type="dxa" w:w="1440"/>
          </w:tcPr>
          <w:p>
            <w:r>
              <w:t>Whole-time director</w:t>
            </w:r>
          </w:p>
        </w:tc>
        <w:tc>
          <w:tcPr>
            <w:tcW w:type="dxa" w:w="1767"/>
          </w:tcPr>
          <w:p>
            <w:r>
              <w:t>NIL</w:t>
            </w:r>
          </w:p>
        </w:tc>
        <w:tc>
          <w:tcPr>
            <w:tcW w:type="dxa" w:w="1701"/>
          </w:tcPr>
          <w:p>
            <w:r>
              <w:t>-</w:t>
            </w:r>
          </w:p>
        </w:tc>
      </w:tr>
      <w:tr>
        <w:tc>
          <w:tcPr>
            <w:tcW w:type="dxa" w:w="720"/>
          </w:tcPr>
          <w:p>
            <w:r>
              <w:t>13</w:t>
            </w:r>
          </w:p>
        </w:tc>
        <w:tc>
          <w:tcPr>
            <w:tcW w:type="dxa" w:w="3870"/>
          </w:tcPr>
          <w:p>
            <w:r>
              <w:t>AMBUJA CEMENTS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Gautam Adani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00006273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Gautam Adani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Gautam Adani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00006273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MUNDRA SPECIAL ECONOMIC ZONE LIMITED</w:t>
      </w:r>
    </w:p>
    <w:p>
      <w:pPr>
        <w:pStyle w:val="NoSpacing"/>
      </w:pPr>
      <w:r>
        <w:rPr>
          <w:rFonts w:ascii="Adani Regular" w:hAnsi="Adani Regular"/>
          <w:sz w:val="22"/>
        </w:rPr>
        <w:t>ADANI LOGISTICS LIMITED</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MEDICITY AND RESEARCH CENTER</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ADANI ENTERPRISES LIMITED</w:t>
      </w:r>
    </w:p>
    <w:p>
      <w:pPr>
        <w:pStyle w:val="NoSpacing"/>
      </w:pPr>
      <w:r>
        <w:rPr>
          <w:rFonts w:ascii="Adani Regular" w:hAnsi="Adani Regular"/>
          <w:sz w:val="22"/>
        </w:rPr>
        <w:t>AMBUJA CEMENTS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MUNDRA SPECIAL ECONOMIC ZONE LIMITED</w:t>
      </w:r>
    </w:p>
    <w:p>
      <w:pPr>
        <w:pStyle w:val="NoSpacing"/>
      </w:pPr>
      <w:r>
        <w:rPr>
          <w:rFonts w:ascii="Adani Regular" w:hAnsi="Adani Regular"/>
          <w:sz w:val="22"/>
        </w:rPr>
        <w:t>ADANI LOGISTICS LIMITED</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MEDICITY AND RESEARCH CENTER</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ADANI TOTAL GAS LIMITED</w:t>
      </w:r>
    </w:p>
    <w:p>
      <w:pPr>
        <w:pStyle w:val="NoSpacing"/>
      </w:pPr>
      <w:r>
        <w:rPr>
          <w:rFonts w:ascii="Adani Regular" w:hAnsi="Adani Regular"/>
          <w:sz w:val="22"/>
        </w:rPr>
        <w:t>ADANI POWER LIMITED</w:t>
      </w:r>
    </w:p>
    <w:p>
      <w:pPr>
        <w:pStyle w:val="NoSpacing"/>
      </w:pPr>
      <w:r>
        <w:rPr>
          <w:rFonts w:ascii="Adani Regular" w:hAnsi="Adani Regular"/>
          <w:sz w:val="22"/>
        </w:rPr>
        <w:t>ADANI ENTERPRISES LIMITED</w:t>
      </w:r>
    </w:p>
    <w:p>
      <w:pPr>
        <w:pStyle w:val="NoSpacing"/>
      </w:pPr>
      <w:r>
        <w:rPr>
          <w:rFonts w:ascii="Adani Regular" w:hAnsi="Adani Regular"/>
          <w:sz w:val="22"/>
        </w:rPr>
        <w:t>AMBUJA CEMENTS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Gautam Adani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00006273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