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RENEWABLE ENERGY FORTY TWO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Mrugen Maheshkant Mankad</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HOLDING THREE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HYBRID ENERGY JAISALMER ONE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HYBRID ENERGY JAISALMER FOUR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RENEWABLE ENERGY FORTY ONE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GREEN ENERGY TWENTY SEVEN C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RENEWABLE ENERGY FORTY FOUR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RENEWABLE ENERGY HOLDING TWO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RENEWABLE ENERGY HOLDING FIFTEEN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RSEPL RENEWABLE ENERGY ONE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RENEWABLE ENERGY FORTY THREE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RENEWABLE ENERGY HOLDING TWO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HYBRID ENERGY JAISALMER ONE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RENEWABLE ENERGY HOLDING FIFTEEN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FORTY TWO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ADANI HYBRID ENERGY JAISALMER FOUR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RENEWABLE ENERGY HOLDING THREE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RSEPL RENEWABLE ENERGY ONE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GREEN ENERGY TWENTY SEVEN C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FORTY THREE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RENEWABLE ENERGY FORTY FOUR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RENEWABLE ENERGY FORTY ONE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ADANI RENEWABLE ENERGY FORTY TWO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Mrugen Maheshkant Mankad</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10154567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Mrugen Maheshkant Mankad</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Mrugen Maheshkant Mankad</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10154567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RENEWABLE ENERGY FORTY TWO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RENEWABLE ENERGY FORTY TWO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Mrugen Maheshkant Mankad</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10154567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