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VIZHINJAM PORT PRIVATE LIMITED</w:t>
      </w:r>
    </w:p>
    <w:p>
      <w:pPr>
        <w:pStyle w:val="NoSpacing"/>
      </w:pPr>
      <w:r>
        <w:rPr>
          <w:rFonts w:ascii="Adani Regular" w:hAnsi="Adani Regular"/>
          <w:sz w:val="22"/>
        </w:rPr>
        <w:t>MADURAI INFRASTRUCTURE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Pradeep Jayaraman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VIZHINJAM PORT PRIVATE LIMITED</w:t>
            </w:r>
          </w:p>
        </w:tc>
        <w:tc>
          <w:tcPr>
            <w:tcW w:type="dxa" w:w="1440"/>
          </w:tcPr>
          <w:p>
            <w:r>
              <w:t>Whole-time director</w:t>
            </w:r>
          </w:p>
        </w:tc>
        <w:tc>
          <w:tcPr>
            <w:tcW w:type="dxa" w:w="1767"/>
          </w:tcPr>
          <w:p>
            <w:r>
              <w:t>NIL</w:t>
            </w:r>
          </w:p>
        </w:tc>
        <w:tc>
          <w:tcPr>
            <w:tcW w:type="dxa" w:w="1701"/>
          </w:tcPr>
          <w:p>
            <w:r>
              <w:t>-</w:t>
            </w:r>
          </w:p>
        </w:tc>
      </w:tr>
      <w:tr>
        <w:tc>
          <w:tcPr>
            <w:tcW w:type="dxa" w:w="720"/>
          </w:tcPr>
          <w:p>
            <w:r>
              <w:t>2</w:t>
            </w:r>
          </w:p>
        </w:tc>
        <w:tc>
          <w:tcPr>
            <w:tcW w:type="dxa" w:w="3870"/>
          </w:tcPr>
          <w:p>
            <w:r>
              <w:t>MADURAI INFRASTRUCTURE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Pradeep Jayaraman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10338320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Pradeep Jayaraman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Pradeep Jayaraman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10338320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VIZHINJAM PORT PRIVATE LIMITED</w:t>
      </w:r>
    </w:p>
    <w:p>
      <w:pPr>
        <w:pStyle w:val="NoSpacing"/>
      </w:pPr>
      <w:r>
        <w:rPr>
          <w:rFonts w:ascii="Adani Regular" w:hAnsi="Adani Regular"/>
          <w:sz w:val="22"/>
        </w:rPr>
        <w:t>MADURAI INFRASTRUCTURE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MADURAI INFRASTRUCTURE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VIZHINJAM PORT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Pradeep Jayaraman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10338320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