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PETRONET ENERGY LIMITED</w:t>
      </w:r>
    </w:p>
    <w:p>
      <w:pPr>
        <w:pStyle w:val="NoSpacing"/>
      </w:pPr>
      <w:r>
        <w:rPr>
          <w:rFonts w:ascii="Adani Regular" w:hAnsi="Adani Regular"/>
          <w:sz w:val="22"/>
        </w:rPr>
        <w:t>ADANI PETRONET (DAHEJ) 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Rakesh Kumar Mishra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PETRONET ENERGY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Rakesh Kumar Mishra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10798340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Rakesh Kumar Mishra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Rakesh Kumar Mishra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10798340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PETRONET ENERGY LIMITED</w:t>
      </w:r>
    </w:p>
    <w:p>
      <w:pPr>
        <w:pStyle w:val="NoSpacing"/>
      </w:pPr>
      <w:r>
        <w:rPr>
          <w:rFonts w:ascii="Adani Regular" w:hAnsi="Adani Regular"/>
          <w:sz w:val="22"/>
        </w:rPr>
        <w:t>ADANI PETRONET (DAHEJ) 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PETRONET ENERGY LIMITED</w:t>
      </w:r>
    </w:p>
    <w:p>
      <w:pPr>
        <w:pStyle w:val="NoSpacing"/>
      </w:pPr>
      <w:r>
        <w:rPr>
          <w:rFonts w:ascii="Adani Regular" w:hAnsi="Adani Regular"/>
          <w:sz w:val="22"/>
        </w:rPr>
        <w:t>ADANI PETRONET (DAHEJ)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Rakesh Kumar Mishra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10798340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