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AGEL Board Meeting</w:t>
      </w:r>
    </w:p>
    <w:p>
      <w:r>
        <w:t>Date: 28 October 2025</w:t>
      </w:r>
    </w:p>
    <w:p>
      <w:pPr>
        <w:pStyle w:val="Heading1"/>
      </w:pPr>
      <w:r>
        <w:t>Attendees</w:t>
      </w:r>
    </w:p>
    <w:p>
      <w:r>
        <w:t>Dinesh Kanabar (Audit Committee Member)</w:t>
      </w:r>
    </w:p>
    <w:p>
      <w:r>
        <w:t>Anup Shah (Audit Committee Member)</w:t>
      </w:r>
    </w:p>
    <w:p>
      <w:r>
        <w:t>Romesh Sobti (Audit Committee Member)</w:t>
      </w:r>
    </w:p>
    <w:p>
      <w:r>
        <w:t>Dr Seng Ratnam (Audit Committee Member)</w:t>
      </w:r>
    </w:p>
    <w:p>
      <w:pPr>
        <w:pStyle w:val="Heading1"/>
      </w:pPr>
      <w:r>
        <w:t>Agenda</w:t>
      </w:r>
    </w:p>
    <w:p>
      <w:pPr>
        <w:pStyle w:val="ListBullet"/>
      </w:pPr>
      <w:r>
        <w:t>Take note of the Minutes of the previous audit committee meeting held on 25th July and 28th July</w:t>
      </w:r>
    </w:p>
    <w:p>
      <w:pPr>
        <w:pStyle w:val="ListBullet"/>
      </w:pPr>
      <w:r>
        <w:t>Take note of action taken on the decisions of the previous audit committee meeting</w:t>
      </w:r>
    </w:p>
    <w:p>
      <w:pPr>
        <w:pStyle w:val="ListBullet"/>
      </w:pPr>
      <w:r>
        <w:t>Review matters pursuant to Regulation 18(3) of SEBI LODR</w:t>
      </w:r>
    </w:p>
    <w:p>
      <w:pPr>
        <w:pStyle w:val="ListBullet"/>
      </w:pPr>
      <w:r>
        <w:t>Review inter corporate loans and investments by the company made during the quarter</w:t>
      </w:r>
    </w:p>
    <w:p>
      <w:pPr>
        <w:pStyle w:val="ListBullet"/>
      </w:pPr>
      <w:r>
        <w:t>Review investment made by unlisted subsidiary during the quarter ended September</w:t>
      </w:r>
    </w:p>
    <w:p>
      <w:pPr>
        <w:pStyle w:val="ListBullet"/>
      </w:pPr>
      <w:r>
        <w:t>Review compliance with provisions of SEBI insider Trading Regulation</w:t>
      </w:r>
    </w:p>
    <w:p>
      <w:pPr>
        <w:pStyle w:val="ListBullet"/>
      </w:pPr>
      <w:r>
        <w:t>Review status of vigil mechanism for the quarter ended 30th September</w:t>
      </w:r>
    </w:p>
    <w:p>
      <w:pPr>
        <w:pStyle w:val="ListBullet"/>
      </w:pPr>
      <w:r>
        <w:t>Review internal audit report for the quarter ended 30th September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Minutes of previous audit committee meetings were finalised and entered in the minute book</w:t>
      </w:r>
    </w:p>
    <w:p>
      <w:pPr>
        <w:pStyle w:val="ListBullet"/>
      </w:pPr>
      <w:r>
        <w:t>Omnibus approval accorded to additional RPTs to be entered into during the financial year</w:t>
      </w:r>
    </w:p>
    <w:p>
      <w:pPr>
        <w:pStyle w:val="ListBullet"/>
      </w:pPr>
      <w:r>
        <w:t>Financial results for the first quarter were approved and submitted to stock exchanges</w:t>
      </w:r>
    </w:p>
    <w:p>
      <w:pPr>
        <w:pStyle w:val="ListBullet"/>
      </w:pPr>
      <w:r>
        <w:t>No differential point requiring note under Regulation 18(3) of SEBI LODR</w:t>
      </w:r>
    </w:p>
    <w:p>
      <w:pPr>
        <w:pStyle w:val="ListBullet"/>
      </w:pPr>
      <w:r>
        <w:t>No specific investment made by AGEL during the quarter</w:t>
      </w:r>
    </w:p>
    <w:p>
      <w:pPr>
        <w:pStyle w:val="ListBullet"/>
      </w:pPr>
      <w:r>
        <w:t>About 784 crore rupees invested by the company into step down subsidiaries as promoter contribution</w:t>
      </w:r>
    </w:p>
    <w:p>
      <w:pPr>
        <w:pStyle w:val="ListBullet"/>
      </w:pPr>
      <w:r>
        <w:t>No deviation in compliance with SEBI insider Trading Regulation</w:t>
      </w:r>
    </w:p>
    <w:p>
      <w:pPr>
        <w:pStyle w:val="ListBullet"/>
      </w:pPr>
      <w:r>
        <w:t>No complaints reported under vigil mechanism during the quarter</w:t>
      </w:r>
    </w:p>
    <w:p>
      <w:pPr>
        <w:pStyle w:val="ListBullet"/>
      </w:pPr>
      <w:r>
        <w:t>Internal audit report for the quarter ended 30th September was reviewed and audit points addressed as per planning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