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Untitled Meeting</w:t>
      </w:r>
    </w:p>
    <w:p>
      <w:r>
        <w:t>Date: Unknown Date</w:t>
      </w:r>
    </w:p>
    <w:p>
      <w:pPr>
        <w:pStyle w:val="Heading1"/>
      </w:pPr>
      <w:r>
        <w:t>Attendees</w:t>
      </w:r>
    </w:p>
    <w:p>
      <w:r>
        <w:t>Anup Shah (None)</w:t>
      </w:r>
    </w:p>
    <w:p>
      <w:r>
        <w:t>Romesh Sobti (None)</w:t>
      </w:r>
    </w:p>
    <w:p>
      <w:r>
        <w:t>Dinesh Kanabar (None)</w:t>
      </w:r>
    </w:p>
    <w:p>
      <w:pPr>
        <w:pStyle w:val="Heading1"/>
      </w:pPr>
      <w:r>
        <w:t>Agenda</w:t>
      </w:r>
    </w:p>
    <w:p>
      <w:pPr>
        <w:pStyle w:val="ListBullet"/>
      </w:pPr>
      <w:r>
        <w:t>Minutes of the previous audit committee meeting</w:t>
      </w:r>
    </w:p>
    <w:p>
      <w:pPr>
        <w:pStyle w:val="ListBullet"/>
      </w:pPr>
      <w:r>
        <w:t>Action taken on decisions of the previous audit committee meeting</w:t>
      </w:r>
    </w:p>
    <w:p>
      <w:pPr>
        <w:pStyle w:val="ListBullet"/>
      </w:pPr>
      <w:r>
        <w:t>Review of matters pursuant to Regulation 18(3) of SEBI (LODR)</w:t>
      </w:r>
    </w:p>
    <w:p>
      <w:pPr>
        <w:pStyle w:val="ListBullet"/>
      </w:pPr>
      <w:r>
        <w:t>Review of inter-corporate loans and investments</w:t>
      </w:r>
    </w:p>
    <w:p>
      <w:pPr>
        <w:pStyle w:val="ListBullet"/>
      </w:pPr>
      <w:r>
        <w:t>Review of investments made by unlisted subsidiaries</w:t>
      </w:r>
    </w:p>
    <w:p>
      <w:pPr>
        <w:pStyle w:val="ListBullet"/>
      </w:pPr>
      <w:r>
        <w:t>Review of compliance with provisions of SEBI Insider Trading Regulation</w:t>
      </w:r>
    </w:p>
    <w:p>
      <w:pPr>
        <w:pStyle w:val="ListBullet"/>
      </w:pPr>
      <w:r>
        <w:t>Review of the status of vigil mechanism</w:t>
      </w:r>
    </w:p>
    <w:p>
      <w:pPr>
        <w:pStyle w:val="ListBullet"/>
      </w:pPr>
      <w:r>
        <w:t>Review of internal audit report for the quarter ended 30th September</w:t>
      </w:r>
    </w:p>
    <w:p>
      <w:pPr>
        <w:pStyle w:val="ListBullet"/>
      </w:pPr>
      <w:r>
        <w:t>Soil conditions and foundation for turbines</w:t>
      </w:r>
    </w:p>
    <w:p>
      <w:pPr>
        <w:pStyle w:val="ListBullet"/>
      </w:pPr>
      <w:r>
        <w:t>Inventory management</w:t>
      </w:r>
    </w:p>
    <w:p>
      <w:pPr>
        <w:pStyle w:val="ListBullet"/>
      </w:pPr>
      <w:r>
        <w:t>Insurance coverage, including terrorism and war damage</w:t>
      </w:r>
    </w:p>
    <w:p>
      <w:pPr>
        <w:pStyle w:val="ListBullet"/>
      </w:pPr>
      <w:r>
        <w:t>Project management and audit processes</w:t>
      </w:r>
    </w:p>
    <w:p>
      <w:pPr>
        <w:pStyle w:val="ListBullet"/>
      </w:pPr>
      <w:r>
        <w:t>Revenue assurance and business interruption policy</w:t>
      </w:r>
    </w:p>
    <w:p>
      <w:pPr>
        <w:pStyle w:val="ListBullet"/>
      </w:pPr>
      <w:r>
        <w:t>Sourcing strategy for modules</w:t>
      </w:r>
    </w:p>
    <w:p>
      <w:pPr>
        <w:pStyle w:val="ListBullet"/>
      </w:pPr>
      <w:r>
        <w:t>Supply chain and logistics</w:t>
      </w:r>
    </w:p>
    <w:p>
      <w:pPr>
        <w:pStyle w:val="ListBullet"/>
      </w:pPr>
      <w:r>
        <w:t>Cost comparison between domestic and international suppliers (China and South East Asia)</w:t>
      </w:r>
    </w:p>
    <w:p>
      <w:pPr>
        <w:pStyle w:val="ListBullet"/>
      </w:pPr>
      <w:r>
        <w:t>Quality control and assurance processes</w:t>
      </w:r>
    </w:p>
    <w:p>
      <w:pPr>
        <w:pStyle w:val="ListBullet"/>
      </w:pPr>
      <w:r>
        <w:t>Project management and construction</w:t>
      </w:r>
    </w:p>
    <w:p>
      <w:pPr>
        <w:pStyle w:val="ListBullet"/>
      </w:pPr>
      <w:r>
        <w:t>Implementation of digital tools for quality checks</w:t>
      </w:r>
    </w:p>
    <w:p>
      <w:pPr>
        <w:pStyle w:val="ListBullet"/>
      </w:pPr>
      <w:r>
        <w:t>Digitising project</w:t>
      </w:r>
    </w:p>
    <w:p>
      <w:pPr>
        <w:pStyle w:val="ListBullet"/>
      </w:pPr>
      <w:r>
        <w:t>Quality management</w:t>
      </w:r>
    </w:p>
    <w:p>
      <w:pPr>
        <w:pStyle w:val="ListBullet"/>
      </w:pPr>
      <w:r>
        <w:t>Invoicing</w:t>
      </w:r>
    </w:p>
    <w:p>
      <w:pPr>
        <w:pStyle w:val="ListBullet"/>
      </w:pPr>
      <w:r>
        <w:t>Pre-commissioning</w:t>
      </w:r>
    </w:p>
    <w:p>
      <w:pPr>
        <w:pStyle w:val="ListBullet"/>
      </w:pPr>
      <w:r>
        <w:t>Cheques</w:t>
      </w:r>
    </w:p>
    <w:p>
      <w:pPr>
        <w:pStyle w:val="ListBullet"/>
      </w:pPr>
      <w:r>
        <w:t>Readiness for end-to-end process</w:t>
      </w:r>
    </w:p>
    <w:p>
      <w:pPr>
        <w:pStyle w:val="ListBullet"/>
      </w:pPr>
      <w:r>
        <w:t>Land availability for solar projects</w:t>
      </w:r>
    </w:p>
    <w:p>
      <w:pPr>
        <w:pStyle w:val="ListBullet"/>
      </w:pPr>
      <w:r>
        <w:t>Pump storage and battery storage projects</w:t>
      </w:r>
    </w:p>
    <w:p>
      <w:pPr>
        <w:pStyle w:val="ListBullet"/>
      </w:pPr>
      <w:r>
        <w:t>Sodium ion technology</w:t>
      </w:r>
    </w:p>
    <w:p>
      <w:pPr>
        <w:pStyle w:val="ListBullet"/>
      </w:pPr>
      <w:r>
        <w:t>Kavda land and its potential for 10 extra gigawatts</w:t>
      </w:r>
    </w:p>
    <w:p>
      <w:pPr>
        <w:pStyle w:val="ListBullet"/>
      </w:pPr>
      <w:r>
        <w:t>Evacuation issues in Khabra</w:t>
      </w:r>
    </w:p>
    <w:p>
      <w:pPr>
        <w:pStyle w:val="ListBullet"/>
      </w:pPr>
      <w:r>
        <w:t>Compliance framework and validation of equipment masters</w:t>
      </w:r>
    </w:p>
    <w:p>
      <w:pPr>
        <w:pStyle w:val="ListBullet"/>
      </w:pPr>
      <w:r>
        <w:t>Cost-saving opportunities at Kavda level</w:t>
      </w:r>
    </w:p>
    <w:p>
      <w:pPr>
        <w:pStyle w:val="ListBullet"/>
      </w:pPr>
      <w:r>
        <w:t>Transmission evacuation and power supply from Rajasthan to Banaskanta</w:t>
      </w:r>
    </w:p>
    <w:p>
      <w:pPr>
        <w:pStyle w:val="ListBullet"/>
      </w:pPr>
      <w:r>
        <w:t>Merchant power and its cyclicality</w:t>
      </w:r>
    </w:p>
    <w:p>
      <w:pPr>
        <w:pStyle w:val="ListBullet"/>
      </w:pPr>
      <w:r>
        <w:t>Comparison of merchant power rates and PPA rates</w:t>
      </w:r>
    </w:p>
    <w:p>
      <w:pPr>
        <w:pStyle w:val="ListBullet"/>
      </w:pPr>
      <w:r>
        <w:t>Right of way (ROW) issues for transmission lines</w:t>
      </w:r>
    </w:p>
    <w:p>
      <w:pPr>
        <w:pStyle w:val="ListBullet"/>
      </w:pPr>
      <w:r>
        <w:t>Execution limitations and regulatory issues for transmission projects</w:t>
      </w:r>
    </w:p>
    <w:p>
      <w:pPr>
        <w:pStyle w:val="ListBullet"/>
      </w:pPr>
      <w:r>
        <w:t>Review and note of Related Party Transactions (RPTs) entered into during the quarter ended 30th September</w:t>
      </w:r>
    </w:p>
    <w:p>
      <w:pPr>
        <w:pStyle w:val="ListBullet"/>
      </w:pPr>
      <w:r>
        <w:t>Approval of additional projected RPTs</w:t>
      </w:r>
    </w:p>
    <w:p>
      <w:pPr>
        <w:pStyle w:val="ListBullet"/>
      </w:pPr>
      <w:r>
        <w:t>Proposal to enter into a Power Purchase Agreement (PPA) with a subsidiary of ASL for merchant power</w:t>
      </w:r>
    </w:p>
    <w:p>
      <w:pPr>
        <w:pStyle w:val="ListBullet"/>
      </w:pPr>
      <w:r>
        <w:t>Review of internal audit report for the quarter ended 30th September</w:t>
      </w:r>
    </w:p>
    <w:p>
      <w:pPr>
        <w:pStyle w:val="ListBullet"/>
      </w:pPr>
      <w:r>
        <w:t>Review of Related Party Transactions (RPTs) for the quarter ended 30th September</w:t>
      </w:r>
    </w:p>
    <w:p>
      <w:pPr>
        <w:pStyle w:val="ListBullet"/>
      </w:pPr>
      <w:r>
        <w:t>Omnibus approval for additional RPTs for the financial year 2025-26</w:t>
      </w:r>
    </w:p>
    <w:p>
      <w:pPr>
        <w:pStyle w:val="ListBullet"/>
      </w:pPr>
      <w:r>
        <w:t>CSR report</w:t>
      </w:r>
    </w:p>
    <w:p>
      <w:pPr>
        <w:pStyle w:val="ListBullet"/>
      </w:pPr>
      <w:r>
        <w:t>Audit committee</w:t>
      </w:r>
    </w:p>
    <w:p>
      <w:pPr>
        <w:pStyle w:val="ListBullet"/>
      </w:pPr>
      <w:r>
        <w:t>Board meeting locations</w:t>
      </w:r>
    </w:p>
    <w:p>
      <w:pPr>
        <w:pStyle w:val="Heading1"/>
      </w:pPr>
      <w:r>
        <w:t>Decisions Made</w:t>
      </w:r>
    </w:p>
    <w:p>
      <w:pPr>
        <w:pStyle w:val="ListBullet"/>
      </w:pPr>
      <w:r>
        <w:t>Approved the proposal to enter into a PPA with a subsidiary of ASL for merchant power</w:t>
      </w:r>
    </w:p>
    <w:p>
      <w:pPr>
        <w:pStyle w:val="ListBullet"/>
      </w:pPr>
      <w:r>
        <w:t>Accorded omnibus approval for additional RPTs for the financial year 2025-26</w:t>
      </w:r>
    </w:p>
    <w:p>
      <w:pPr>
        <w:pStyle w:val="Heading1"/>
      </w:pPr>
      <w:r>
        <w:t>Action Items</w:t>
      </w:r>
    </w:p>
    <w:p>
      <w:pPr>
        <w:pStyle w:val="ListBullet"/>
      </w:pPr>
      <w:r>
        <w:t>Obtain quotations on a quarterly basis to show that transactions are beneficial - None</w:t>
      </w:r>
    </w:p>
    <w:p>
      <w:pPr>
        <w:pStyle w:val="ListBullet"/>
      </w:pPr>
      <w:r>
        <w:t>Keep records of quotations to support RPTs - None</w:t>
      </w:r>
    </w:p>
    <w:p>
      <w:pPr>
        <w:pStyle w:val="ListBullet"/>
      </w:pPr>
      <w:r>
        <w:t>Corrective actions to be taken on automation and equipment mapping - None</w:t>
      </w:r>
    </w:p>
    <w:p>
      <w:pPr>
        <w:pStyle w:val="ListBullet"/>
      </w:pPr>
      <w:r>
        <w:t>Review of 2025 sites per quarter for compliance framework - None</w:t>
      </w:r>
    </w:p>
    <w:p>
      <w:pPr>
        <w:pStyle w:val="ListBullet"/>
      </w:pPr>
      <w:r>
        <w:t>Implementation of preventive actions for Kappa - None</w:t>
      </w:r>
    </w:p>
    <w:p>
      <w:pPr>
        <w:pStyle w:val="ListBullet"/>
      </w:pPr>
      <w:r>
        <w:t>Development of a digital tool for 100% quality checks - None</w:t>
      </w:r>
    </w:p>
    <w:p>
      <w:pPr>
        <w:pStyle w:val="ListBullet"/>
      </w:pPr>
      <w:r>
        <w:t>Alignment of the company's quality plan with the IS code mandates - None</w:t>
      </w:r>
    </w:p>
    <w:p>
      <w:pPr>
        <w:pStyle w:val="ListBullet"/>
      </w:pPr>
      <w:r>
        <w:t>Implementation of a project life cycle management system - None</w:t>
      </w:r>
    </w:p>
    <w:p>
      <w:pPr>
        <w:pStyle w:val="ListBullet"/>
      </w:pPr>
      <w:r>
        <w:t>Training vendors and quality personnel for digitization process - None</w:t>
      </w:r>
    </w:p>
    <w:p>
      <w:pPr>
        <w:pStyle w:val="ListBullet"/>
      </w:pPr>
      <w:r>
        <w:t>Completing the digitization process by the end of the quarter - None</w:t>
      </w:r>
    </w:p>
    <w:p>
      <w:pPr>
        <w:pStyle w:val="ListBullet"/>
      </w:pPr>
      <w:r>
        <w:t>Advising anti-corrosion painting for existing work - None</w:t>
      </w:r>
    </w:p>
    <w:p>
      <w:pPr>
        <w:pStyle w:val="ListBullet"/>
      </w:pPr>
      <w:r>
        <w:t>Implementing mould verification process as part of the normal process - None</w:t>
      </w:r>
    </w:p>
    <w:p>
      <w:pPr>
        <w:pStyle w:val="ListBullet"/>
      </w:pPr>
      <w:r>
        <w:t>Evaluating alternative battery storage technologies - None</w:t>
      </w:r>
    </w:p>
    <w:p>
      <w:pPr>
        <w:pStyle w:val="ListBullet"/>
      </w:pPr>
      <w:r>
        <w:t>Share a video with someone - None</w:t>
      </w:r>
    </w:p>
    <w:p>
      <w:pPr>
        <w:pStyle w:val="ListBullet"/>
      </w:pPr>
      <w:r>
        <w:t>Mention something to someone tomorrow - None</w:t>
      </w:r>
    </w:p>
    <w:p>
      <w:pPr>
        <w:pStyle w:val="ListBullet"/>
      </w:pPr>
      <w:r>
        <w:t>Convene NRC in the second week of November - None</w:t>
      </w:r>
    </w:p>
    <w:p>
      <w:pPr>
        <w:pStyle w:val="ListBullet"/>
      </w:pPr>
      <w:r>
        <w:t>Put the clarification on the minimum return of 12% in the meeting minutes - None</w:t>
      </w:r>
    </w:p>
    <w:p>
      <w:pPr>
        <w:pStyle w:val="ListBullet"/>
      </w:pPr>
      <w:r>
        <w:t>Approve the additional RPTs - Members</w:t>
      </w:r>
    </w:p>
    <w:p>
      <w:pPr>
        <w:pStyle w:val="Heading1"/>
      </w:pPr>
      <w:r>
        <w:t>Next Meeting</w:t>
      </w:r>
    </w:p>
    <w:p>
      <w:r>
        <w:t>NRC in the second week of November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